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left"/>
      </w:pPr>
      <w:r>
        <w:rPr>
          <w:rFonts w:ascii="Courier New" w:cs="Courier New" w:eastAsia="Courier New" w:hAnsi="Courier New"/>
          <w:b/>
          <w:bCs/>
          <w:color w:val="1B2A3B"/>
          <w:sz w:val="56"/>
          <w:szCs w:val="56"/>
        </w:rPr>
        <w:t xml:space="preserve">NET//ETHER</w:t>
      </w:r>
    </w:p>
    <w:p>
      <w:pPr>
        <w:spacing w:after="80"/>
        <w:jc w:val="left"/>
      </w:pPr>
      <w:r>
        <w:rPr>
          <w:rFonts w:ascii="Arial" w:cs="Arial" w:eastAsia="Arial" w:hAnsi="Arial"/>
          <w:color w:val="1B5E8C"/>
          <w:sz w:val="28"/>
          <w:szCs w:val="28"/>
        </w:rPr>
        <w:t xml:space="preserve">Field Network Management Tool</w:t>
      </w:r>
    </w:p>
    <w:p>
      <w:pPr>
        <w:pBdr>
          <w:bottom w:val="single" w:color="1B2A3B" w:sz="8" w:space="6"/>
        </w:pBdr>
        <w:spacing w:after="600"/>
        <w:jc w:val="left"/>
      </w:pPr>
      <w:r>
        <w:rPr>
          <w:rFonts w:ascii="Arial" w:cs="Arial" w:eastAsia="Arial" w:hAnsi="Arial"/>
          <w:i/>
          <w:iCs/>
          <w:color w:val="111111"/>
          <w:sz w:val="22"/>
          <w:szCs w:val="22"/>
        </w:rPr>
        <w:t xml:space="preserve">Technical Overview &amp; Operational Guide</w:t>
      </w:r>
    </w:p>
    <w:p>
      <w:pPr>
        <w:spacing w:after="60"/>
      </w:pPr>
      <w:r>
        <w:rPr>
          <w:rFonts w:ascii="Arial" w:cs="Arial" w:eastAsia="Arial" w:hAnsi="Arial"/>
          <w:color w:val="111111"/>
          <w:sz w:val="20"/>
          <w:szCs w:val="20"/>
        </w:rPr>
        <w:t xml:space="preserve">Developed by Broman Enterprises</w:t>
      </w:r>
    </w:p>
    <w:p>
      <w:pPr>
        <w:spacing w:after="60"/>
      </w:pPr>
      <w:r>
        <w:rPr>
          <w:rFonts w:ascii="Arial" w:cs="Arial" w:eastAsia="Arial" w:hAnsi="Arial"/>
          <w:color w:val="111111"/>
          <w:sz w:val="20"/>
          <w:szCs w:val="20"/>
        </w:rPr>
        <w:t xml:space="preserve">Document Version 2.0  |  Application Version 5.56.0</w:t>
      </w:r>
    </w:p>
    <w:p>
      <w:pPr>
        <w:spacing w:after="60"/>
      </w:pPr>
      <w:r>
        <w:rPr>
          <w:rFonts w:ascii="Arial" w:cs="Arial" w:eastAsia="Arial" w:hAnsi="Arial"/>
          <w:color w:val="666666"/>
          <w:sz w:val="18"/>
          <w:szCs w:val="18"/>
        </w:rPr>
        <w:t xml:space="preserve">© 2026 Broman Enterprises. All rights reserved.</w:t>
      </w:r>
    </w:p>
    <w:p>
      <w:pPr>
        <w:spacing w:after="80"/>
      </w:pPr>
    </w:p>
    <w:p>
      <w:pPr>
        <w:pStyle w:val="Heading1"/>
        <w:pBdr>
          <w:bottom w:val="single" w:color="1B2A3B" w:sz="6" w:space="4"/>
        </w:pBdr>
        <w:spacing w:after="160" w:before="320"/>
      </w:pPr>
      <w:r>
        <w:rPr>
          <w:rFonts w:ascii="Arial" w:cs="Arial" w:eastAsia="Arial" w:hAnsi="Arial"/>
          <w:b/>
          <w:bCs/>
          <w:color w:val="1B2A3B"/>
          <w:sz w:val="32"/>
          <w:szCs w:val="32"/>
        </w:rPr>
        <w:t xml:space="preserve">1.  Executive Summary</w:t>
      </w:r>
    </w:p>
    <w:p>
      <w:pPr>
        <w:spacing w:after="140"/>
      </w:pPr>
      <w:r>
        <w:rPr>
          <w:rFonts w:ascii="Arial" w:cs="Arial" w:eastAsia="Arial" w:hAnsi="Arial"/>
          <w:color w:val="111111"/>
          <w:sz w:val="20"/>
          <w:szCs w:val="20"/>
        </w:rPr>
        <w:t xml:space="preserve">NET//ETHER is a compact Windows desktop application built for low-voltage field technicians working on security, access control, and IP camera installations. It runs from the technician’s laptop with no client-side installation, leaves no footprint on client networks, and stores all data locally.</w:t>
      </w:r>
    </w:p>
    <w:p>
      <w:pPr>
        <w:spacing w:after="140"/>
      </w:pPr>
      <w:r>
        <w:rPr>
          <w:rFonts w:ascii="Arial" w:cs="Arial" w:eastAsia="Arial" w:hAnsi="Arial"/>
          <w:color w:val="111111"/>
          <w:sz w:val="20"/>
          <w:szCs w:val="20"/>
        </w:rPr>
        <w:t xml:space="preserve">The core function is fast, reliable Ethernet adapter management: switching between IP configurations, applying static addresses, and returning to DHCP. Surrounding that core are supporting tools—continuous ping monitoring, subnet scanning, OUI vendor lookup, and site documentation—that cover the full workflow of a typical field visit without requiring a second tool.</w:t>
      </w:r>
    </w:p>
    <w:p>
      <w:pPr>
        <w:spacing w:after="140"/>
      </w:pPr>
      <w:r>
        <w:rPr>
          <w:rFonts w:ascii="Arial" w:cs="Arial" w:eastAsia="Arial" w:hAnsi="Arial"/>
          <w:color w:val="111111"/>
          <w:sz w:val="20"/>
          <w:szCs w:val="20"/>
        </w:rPr>
        <w:t xml:space="preserve">From a business perspective, NET//ETHER reduces time-on-site, eliminates configuration errors, and creates a documented record of every network visited.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0D7DE" w:sz="1"/>
              <w:left w:val="single" w:color="D0D7DE" w:sz="1"/>
              <w:bottom w:val="single" w:color="D0D7DE" w:sz="1"/>
              <w:right w:val="single" w:color="D0D7DE" w:sz="1"/>
            </w:tcBorders>
            <w:shd w:fill="1B2A3B" w:val="clear"/>
            <w:tcMar>
              <w:top w:type="dxa" w:w="80"/>
              <w:left w:type="dxa" w:w="140"/>
              <w:bottom w:type="dxa" w:w="80"/>
              <w:right w:type="dxa" w:w="140"/>
            </w:tcMar>
            <w:vAlign w:val="center"/>
          </w:tcPr>
          <w:p>
            <w:pPr>
              <w:jc w:val="left"/>
            </w:pPr>
            <w:r>
              <w:rPr>
                <w:rFonts w:ascii="Arial" w:cs="Arial" w:eastAsia="Arial" w:hAnsi="Arial"/>
                <w:b/>
                <w:bCs/>
                <w:color w:val="FFFFFF"/>
                <w:sz w:val="20"/>
                <w:szCs w:val="20"/>
              </w:rPr>
              <w:t xml:space="preserve">ATTRIBUTE</w:t>
            </w:r>
          </w:p>
        </w:tc>
        <w:tc>
          <w:tcPr>
            <w:tcW w:type="dxa" w:w="6560"/>
            <w:tcBorders>
              <w:top w:val="single" w:color="D0D7DE" w:sz="1"/>
              <w:left w:val="single" w:color="D0D7DE" w:sz="1"/>
              <w:bottom w:val="single" w:color="D0D7DE" w:sz="1"/>
              <w:right w:val="single" w:color="D0D7DE" w:sz="1"/>
            </w:tcBorders>
            <w:shd w:fill="1B2A3B" w:val="clear"/>
            <w:tcMar>
              <w:top w:type="dxa" w:w="80"/>
              <w:left w:type="dxa" w:w="140"/>
              <w:bottom w:type="dxa" w:w="80"/>
              <w:right w:type="dxa" w:w="140"/>
            </w:tcMar>
            <w:vAlign w:val="center"/>
          </w:tcPr>
          <w:p>
            <w:pPr>
              <w:jc w:val="left"/>
            </w:pPr>
            <w:r>
              <w:rPr>
                <w:rFonts w:ascii="Arial" w:cs="Arial" w:eastAsia="Arial" w:hAnsi="Arial"/>
                <w:b/>
                <w:bCs/>
                <w:color w:val="FFFFFF"/>
                <w:sz w:val="20"/>
                <w:szCs w:val="20"/>
              </w:rPr>
              <w:t xml:space="preserve">DETAIL</w:t>
            </w:r>
          </w:p>
        </w:tc>
      </w:tr>
      <w:tr>
        <w:tc>
          <w:tcPr>
            <w:tcW w:type="dxa" w:w="280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bCs/>
                <w:color w:val="111111"/>
                <w:sz w:val="20"/>
                <w:szCs w:val="20"/>
              </w:rPr>
              <w:t xml:space="preserve">Purpose</w:t>
            </w:r>
          </w:p>
        </w:tc>
        <w:tc>
          <w:tcPr>
            <w:tcW w:type="dxa" w:w="656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Ethernet adapter management and field network tooling for low-voltage security installations</w:t>
            </w:r>
          </w:p>
        </w:tc>
      </w:tr>
      <w:tr>
        <w:tc>
          <w:tcPr>
            <w:tcW w:type="dxa" w:w="2800"/>
            <w:tcBorders>
              <w:top w:val="single" w:color="D0D7DE" w:sz="1"/>
              <w:left w:val="single" w:color="D0D7DE" w:sz="1"/>
              <w:bottom w:val="single" w:color="D0D7DE" w:sz="1"/>
              <w:right w:val="single" w:color="D0D7DE" w:sz="1"/>
            </w:tcBorders>
            <w:shd w:fill="FFFFFF" w:val="clear"/>
            <w:tcMar>
              <w:top w:type="dxa" w:w="80"/>
              <w:left w:type="dxa" w:w="140"/>
              <w:bottom w:type="dxa" w:w="80"/>
              <w:right w:type="dxa" w:w="140"/>
            </w:tcMar>
            <w:vAlign w:val="center"/>
          </w:tcPr>
          <w:p>
            <w:r>
              <w:rPr>
                <w:rFonts w:ascii="Arial" w:cs="Arial" w:eastAsia="Arial" w:hAnsi="Arial"/>
                <w:b/>
                <w:bCs/>
                <w:color w:val="111111"/>
                <w:sz w:val="20"/>
                <w:szCs w:val="20"/>
              </w:rPr>
              <w:t xml:space="preserve">Platform</w:t>
            </w:r>
          </w:p>
        </w:tc>
        <w:tc>
          <w:tcPr>
            <w:tcW w:type="dxa" w:w="6560"/>
            <w:tcBorders>
              <w:top w:val="single" w:color="D0D7DE" w:sz="1"/>
              <w:left w:val="single" w:color="D0D7DE" w:sz="1"/>
              <w:bottom w:val="single" w:color="D0D7DE" w:sz="1"/>
              <w:right w:val="single" w:color="D0D7DE" w:sz="1"/>
            </w:tcBorders>
            <w:shd w:fill="FFFFFF"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Windows 10/11 — Electron-based desktop application</w:t>
            </w:r>
          </w:p>
        </w:tc>
      </w:tr>
      <w:tr>
        <w:tc>
          <w:tcPr>
            <w:tcW w:type="dxa" w:w="280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bCs/>
                <w:color w:val="111111"/>
                <w:sz w:val="20"/>
                <w:szCs w:val="20"/>
              </w:rPr>
              <w:t xml:space="preserve">Installation</w:t>
            </w:r>
          </w:p>
        </w:tc>
        <w:tc>
          <w:tcPr>
            <w:tcW w:type="dxa" w:w="656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None required — portable, runs from the technician’s laptop</w:t>
            </w:r>
          </w:p>
        </w:tc>
      </w:tr>
      <w:tr>
        <w:tc>
          <w:tcPr>
            <w:tcW w:type="dxa" w:w="2800"/>
            <w:tcBorders>
              <w:top w:val="single" w:color="D0D7DE" w:sz="1"/>
              <w:left w:val="single" w:color="D0D7DE" w:sz="1"/>
              <w:bottom w:val="single" w:color="D0D7DE" w:sz="1"/>
              <w:right w:val="single" w:color="D0D7DE" w:sz="1"/>
            </w:tcBorders>
            <w:shd w:fill="FFFFFF" w:val="clear"/>
            <w:tcMar>
              <w:top w:type="dxa" w:w="80"/>
              <w:left w:type="dxa" w:w="140"/>
              <w:bottom w:type="dxa" w:w="80"/>
              <w:right w:type="dxa" w:w="140"/>
            </w:tcMar>
            <w:vAlign w:val="center"/>
          </w:tcPr>
          <w:p>
            <w:r>
              <w:rPr>
                <w:rFonts w:ascii="Arial" w:cs="Arial" w:eastAsia="Arial" w:hAnsi="Arial"/>
                <w:b/>
                <w:bCs/>
                <w:color w:val="111111"/>
                <w:sz w:val="20"/>
                <w:szCs w:val="20"/>
              </w:rPr>
              <w:t xml:space="preserve">Client impact</w:t>
            </w:r>
          </w:p>
        </w:tc>
        <w:tc>
          <w:tcPr>
            <w:tcW w:type="dxa" w:w="6560"/>
            <w:tcBorders>
              <w:top w:val="single" w:color="D0D7DE" w:sz="1"/>
              <w:left w:val="single" w:color="D0D7DE" w:sz="1"/>
              <w:bottom w:val="single" w:color="D0D7DE" w:sz="1"/>
              <w:right w:val="single" w:color="D0D7DE" w:sz="1"/>
            </w:tcBorders>
            <w:shd w:fill="FFFFFF"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Zero — no software installed on client systems</w:t>
            </w:r>
          </w:p>
        </w:tc>
      </w:tr>
      <w:tr>
        <w:tc>
          <w:tcPr>
            <w:tcW w:type="dxa" w:w="280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bCs/>
                <w:color w:val="111111"/>
                <w:sz w:val="20"/>
                <w:szCs w:val="20"/>
              </w:rPr>
              <w:t xml:space="preserve">Data storage</w:t>
            </w:r>
          </w:p>
        </w:tc>
        <w:tc>
          <w:tcPr>
            <w:tcW w:type="dxa" w:w="656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Local only — stored in %APPDATA%\net-ether on the technician’s machine</w:t>
            </w:r>
          </w:p>
        </w:tc>
      </w:tr>
      <w:tr>
        <w:tc>
          <w:tcPr>
            <w:tcW w:type="dxa" w:w="2800"/>
            <w:tcBorders>
              <w:top w:val="single" w:color="D0D7DE" w:sz="1"/>
              <w:left w:val="single" w:color="D0D7DE" w:sz="1"/>
              <w:bottom w:val="single" w:color="D0D7DE" w:sz="1"/>
              <w:right w:val="single" w:color="D0D7DE" w:sz="1"/>
            </w:tcBorders>
            <w:shd w:fill="FFFFFF" w:val="clear"/>
            <w:tcMar>
              <w:top w:type="dxa" w:w="80"/>
              <w:left w:type="dxa" w:w="140"/>
              <w:bottom w:type="dxa" w:w="80"/>
              <w:right w:type="dxa" w:w="140"/>
            </w:tcMar>
            <w:vAlign w:val="center"/>
          </w:tcPr>
          <w:p>
            <w:r>
              <w:rPr>
                <w:rFonts w:ascii="Arial" w:cs="Arial" w:eastAsia="Arial" w:hAnsi="Arial"/>
                <w:b/>
                <w:bCs/>
                <w:color w:val="111111"/>
                <w:sz w:val="20"/>
                <w:szCs w:val="20"/>
              </w:rPr>
              <w:t xml:space="preserve">External calls</w:t>
            </w:r>
          </w:p>
        </w:tc>
        <w:tc>
          <w:tcPr>
            <w:tcW w:type="dxa" w:w="6560"/>
            <w:tcBorders>
              <w:top w:val="single" w:color="D0D7DE" w:sz="1"/>
              <w:left w:val="single" w:color="D0D7DE" w:sz="1"/>
              <w:bottom w:val="single" w:color="D0D7DE" w:sz="1"/>
              <w:right w:val="single" w:color="D0D7DE" w:sz="1"/>
            </w:tcBorders>
            <w:shd w:fill="FFFFFF"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None by default — OUI vendor lookup uses bundled offline database</w:t>
            </w:r>
          </w:p>
        </w:tc>
      </w:tr>
      <w:tr>
        <w:tc>
          <w:tcPr>
            <w:tcW w:type="dxa" w:w="280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bCs/>
                <w:color w:val="111111"/>
                <w:sz w:val="20"/>
                <w:szCs w:val="20"/>
              </w:rPr>
              <w:t xml:space="preserve">Network access</w:t>
            </w:r>
          </w:p>
        </w:tc>
        <w:tc>
          <w:tcPr>
            <w:tcW w:type="dxa" w:w="656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Read/write to technician’s own adapter — read-only discovery of client network</w:t>
            </w:r>
          </w:p>
        </w:tc>
      </w:tr>
    </w:tbl>
    <w:p>
      <w:pPr>
        <w:spacing w:after="160"/>
      </w:pPr>
    </w:p>
    <w:p>
      <w:pPr>
        <w:pStyle w:val="Heading1"/>
        <w:pBdr>
          <w:bottom w:val="single" w:color="1B2A3B" w:sz="6" w:space="4"/>
        </w:pBdr>
        <w:spacing w:after="160" w:before="320"/>
      </w:pPr>
      <w:r>
        <w:rPr>
          <w:rFonts w:ascii="Arial" w:cs="Arial" w:eastAsia="Arial" w:hAnsi="Arial"/>
          <w:b/>
          <w:bCs/>
          <w:color w:val="1B2A3B"/>
          <w:sz w:val="32"/>
          <w:szCs w:val="32"/>
        </w:rPr>
        <w:t xml:space="preserve">2.  The Problem This Solves</w:t>
      </w:r>
    </w:p>
    <w:p>
      <w:pPr>
        <w:pStyle w:val="Heading2"/>
        <w:spacing w:after="100" w:before="240"/>
      </w:pPr>
      <w:r>
        <w:rPr>
          <w:rFonts w:ascii="Arial" w:cs="Arial" w:eastAsia="Arial" w:hAnsi="Arial"/>
          <w:b/>
          <w:bCs/>
          <w:color w:val="1B5E8C"/>
          <w:sz w:val="26"/>
          <w:szCs w:val="26"/>
        </w:rPr>
        <w:t xml:space="preserve">2.1  IP Configuration Is Manual and Slow</w:t>
      </w:r>
    </w:p>
    <w:p>
      <w:pPr>
        <w:spacing w:after="140"/>
      </w:pPr>
      <w:r>
        <w:rPr>
          <w:rFonts w:ascii="Arial" w:cs="Arial" w:eastAsia="Arial" w:hAnsi="Arial"/>
          <w:color w:val="111111"/>
          <w:sz w:val="20"/>
          <w:szCs w:val="20"/>
        </w:rPr>
        <w:t xml:space="preserve">Commissioning cameras, NVRs, and access control panels requires matching the laptop’s IP to the device subnet. Doing this through Windows Settings is slow, easy to get wrong, and leaves the technician without a quick way back if something breaks. NET//ETHER handles this in two clicks with a full revert capability.</w:t>
      </w:r>
    </w:p>
    <w:p>
      <w:pPr>
        <w:pStyle w:val="Heading2"/>
        <w:spacing w:after="100" w:before="240"/>
      </w:pPr>
      <w:r>
        <w:rPr>
          <w:rFonts w:ascii="Arial" w:cs="Arial" w:eastAsia="Arial" w:hAnsi="Arial"/>
          <w:b/>
          <w:bCs/>
          <w:color w:val="1B5E8C"/>
          <w:sz w:val="26"/>
          <w:szCs w:val="26"/>
        </w:rPr>
        <w:t xml:space="preserve">2.2  No Visibility Into What’s on the Network</w:t>
      </w:r>
    </w:p>
    <w:p>
      <w:pPr>
        <w:spacing w:after="140"/>
      </w:pPr>
      <w:r>
        <w:rPr>
          <w:rFonts w:ascii="Arial" w:cs="Arial" w:eastAsia="Arial" w:hAnsi="Arial"/>
          <w:color w:val="111111"/>
          <w:sz w:val="20"/>
          <w:szCs w:val="20"/>
        </w:rPr>
        <w:t xml:space="preserve">Without a scanning tool, technicians have no way to know what devices are already on a network, whether an IP is in use, or what the topology looks like. IP conflicts and missed devices are the result. A 30-second subnet scan catches these before they become problems.</w:t>
      </w:r>
    </w:p>
    <w:p>
      <w:pPr>
        <w:pStyle w:val="Heading2"/>
        <w:spacing w:after="100" w:before="240"/>
      </w:pPr>
      <w:r>
        <w:rPr>
          <w:rFonts w:ascii="Arial" w:cs="Arial" w:eastAsia="Arial" w:hAnsi="Arial"/>
          <w:b/>
          <w:bCs/>
          <w:color w:val="1B5E8C"/>
          <w:sz w:val="26"/>
          <w:szCs w:val="26"/>
        </w:rPr>
        <w:t xml:space="preserve">2.3  Site Knowledge Lives in People’s Heads</w:t>
      </w:r>
    </w:p>
    <w:p>
      <w:pPr>
        <w:spacing w:after="140"/>
      </w:pPr>
      <w:r>
        <w:rPr>
          <w:rFonts w:ascii="Arial" w:cs="Arial" w:eastAsia="Arial" w:hAnsi="Arial"/>
          <w:color w:val="111111"/>
          <w:sz w:val="20"/>
          <w:szCs w:val="20"/>
        </w:rPr>
        <w:t xml:space="preserve">Return visits require a technician to either remember the layout from last time or start from scratch. If the original tech is unavailable, that knowledge is gone. NET//ETHER’s SITES tab stores device records, credentials, and notes per site—and exports them to a formatted spreadsheet for handoff.</w:t>
      </w:r>
    </w:p>
    <w:p>
      <w:pPr>
        <w:pStyle w:val="Heading2"/>
        <w:spacing w:after="100" w:before="240"/>
      </w:pPr>
      <w:r>
        <w:rPr>
          <w:rFonts w:ascii="Arial" w:cs="Arial" w:eastAsia="Arial" w:hAnsi="Arial"/>
          <w:b/>
          <w:bCs/>
          <w:color w:val="1B5E8C"/>
          <w:sz w:val="26"/>
          <w:szCs w:val="26"/>
        </w:rPr>
        <w:t xml:space="preserve">2.4  Common Tools Require the Wrong Expertise</w:t>
      </w:r>
    </w:p>
    <w:p>
      <w:pPr>
        <w:spacing w:after="140"/>
      </w:pPr>
      <w:r>
        <w:rPr>
          <w:rFonts w:ascii="Arial" w:cs="Arial" w:eastAsia="Arial" w:hAnsi="Arial"/>
          <w:color w:val="111111"/>
          <w:sz w:val="20"/>
          <w:szCs w:val="20"/>
        </w:rPr>
        <w:t xml:space="preserve">Enterprise tools like Wireshark or Nmap are powerful but require network engineering knowledge and raise questions from IT security teams when found on a field tech’s laptop. NET//ETHER does exactly what a field tech needs—nothing more.</w:t>
      </w:r>
    </w:p>
    <w:p>
      <w:pPr>
        <w:spacing w:after="80"/>
      </w:pPr>
    </w:p>
    <w:p>
      <w:pPr>
        <w:pStyle w:val="Heading1"/>
        <w:pBdr>
          <w:bottom w:val="single" w:color="1B2A3B" w:sz="6" w:space="4"/>
        </w:pBdr>
        <w:spacing w:after="160" w:before="320"/>
      </w:pPr>
      <w:r>
        <w:rPr>
          <w:rFonts w:ascii="Arial" w:cs="Arial" w:eastAsia="Arial" w:hAnsi="Arial"/>
          <w:b/>
          <w:bCs/>
          <w:color w:val="1B2A3B"/>
          <w:sz w:val="32"/>
          <w:szCs w:val="32"/>
        </w:rPr>
        <w:t xml:space="preserve">3.  Features</w:t>
      </w:r>
    </w:p>
    <w:p>
      <w:pPr>
        <w:pStyle w:val="Heading2"/>
        <w:spacing w:after="100" w:before="240"/>
      </w:pPr>
      <w:r>
        <w:rPr>
          <w:rFonts w:ascii="Arial" w:cs="Arial" w:eastAsia="Arial" w:hAnsi="Arial"/>
          <w:b/>
          <w:bCs/>
          <w:color w:val="1B5E8C"/>
          <w:sz w:val="26"/>
          <w:szCs w:val="26"/>
        </w:rPr>
        <w:t xml:space="preserve">3.1  ETHER — Adapter Management</w:t>
      </w:r>
    </w:p>
    <w:p>
      <w:pPr>
        <w:spacing w:after="140"/>
      </w:pPr>
      <w:r>
        <w:rPr>
          <w:rFonts w:ascii="Arial" w:cs="Arial" w:eastAsia="Arial" w:hAnsi="Arial"/>
          <w:color w:val="111111"/>
          <w:sz w:val="20"/>
          <w:szCs w:val="20"/>
        </w:rPr>
        <w:t xml:space="preserve">The primary tab. All IP configuration work starts here.</w:t>
      </w:r>
    </w:p>
    <w:p>
      <w:pPr>
        <w:pStyle w:val="ListParagraph"/>
        <w:numPr>
          <w:ilvl w:val="0"/>
          <w:numId w:val="2"/>
        </w:numPr>
        <w:spacing w:after="80"/>
      </w:pPr>
      <w:r>
        <w:rPr>
          <w:rFonts w:ascii="Arial" w:cs="Arial" w:eastAsia="Arial" w:hAnsi="Arial"/>
          <w:color w:val="111111"/>
          <w:sz w:val="20"/>
          <w:szCs w:val="20"/>
        </w:rPr>
        <w:t xml:space="preserve">Presets: four named slots (LIVE, plus three user-defined). LIVE always reflects the current adapter state. The other slots persist across sessions and can be renamed by double-clicking.</w:t>
      </w:r>
    </w:p>
    <w:p>
      <w:pPr>
        <w:pStyle w:val="ListParagraph"/>
        <w:numPr>
          <w:ilvl w:val="0"/>
          <w:numId w:val="2"/>
        </w:numPr>
        <w:spacing w:after="80"/>
      </w:pPr>
      <w:r>
        <w:rPr>
          <w:rFonts w:ascii="Arial" w:cs="Arial" w:eastAsia="Arial" w:hAnsi="Arial"/>
          <w:color w:val="111111"/>
          <w:sz w:val="20"/>
          <w:szCs w:val="20"/>
        </w:rPr>
        <w:t xml:space="preserve">Adapter selector: shows all connected Ethernet adapters with state, DHCP/STATIC status, and current IP. Click any adapter to load its configuration into the fields.</w:t>
      </w:r>
    </w:p>
    <w:p>
      <w:pPr>
        <w:pStyle w:val="ListParagraph"/>
        <w:numPr>
          <w:ilvl w:val="0"/>
          <w:numId w:val="2"/>
        </w:numPr>
        <w:spacing w:after="80"/>
      </w:pPr>
      <w:r>
        <w:rPr>
          <w:rFonts w:ascii="Arial" w:cs="Arial" w:eastAsia="Arial" w:hAnsi="Arial"/>
          <w:color w:val="111111"/>
          <w:sz w:val="20"/>
          <w:szCs w:val="20"/>
        </w:rPr>
        <w:t xml:space="preserve">Apply Config: writes IP, subnet, gateway, and DNS to the adapter via elevated netsh commands. Snapshots the current state first so REVERT can restore it exactly.</w:t>
      </w:r>
    </w:p>
    <w:p>
      <w:pPr>
        <w:pStyle w:val="ListParagraph"/>
        <w:numPr>
          <w:ilvl w:val="0"/>
          <w:numId w:val="2"/>
        </w:numPr>
        <w:spacing w:after="80"/>
      </w:pPr>
      <w:r>
        <w:rPr>
          <w:rFonts w:ascii="Arial" w:cs="Arial" w:eastAsia="Arial" w:hAnsi="Arial"/>
          <w:color w:val="111111"/>
          <w:sz w:val="20"/>
          <w:szCs w:val="20"/>
        </w:rPr>
        <w:t xml:space="preserve">DHCP: returns the adapter to DHCP in one click.</w:t>
      </w:r>
    </w:p>
    <w:p>
      <w:pPr>
        <w:pStyle w:val="ListParagraph"/>
        <w:numPr>
          <w:ilvl w:val="0"/>
          <w:numId w:val="2"/>
        </w:numPr>
        <w:spacing w:after="80"/>
      </w:pPr>
      <w:r>
        <w:rPr>
          <w:rFonts w:ascii="Arial" w:cs="Arial" w:eastAsia="Arial" w:hAnsi="Arial"/>
          <w:color w:val="111111"/>
          <w:sz w:val="20"/>
          <w:szCs w:val="20"/>
        </w:rPr>
        <w:t xml:space="preserve">MTU Fix: resets the adapter MTU to 1500 bytes. Fixes the common symptom of being able to ping but not load web pages or streams—usually a VPN artefact.</w:t>
      </w:r>
    </w:p>
    <w:p>
      <w:pPr>
        <w:pStyle w:val="ListParagraph"/>
        <w:numPr>
          <w:ilvl w:val="0"/>
          <w:numId w:val="2"/>
        </w:numPr>
        <w:spacing w:after="80"/>
      </w:pPr>
      <w:r>
        <w:rPr>
          <w:rFonts w:ascii="Arial" w:cs="Arial" w:eastAsia="Arial" w:hAnsi="Arial"/>
          <w:color w:val="111111"/>
          <w:sz w:val="20"/>
          <w:szCs w:val="20"/>
        </w:rPr>
        <w:t xml:space="preserve">CMD: shows the exact netsh commands that Apply Config would run, without executing them. Useful when UAC is unavailable or commands need to be handed to an IT admin.</w:t>
      </w:r>
    </w:p>
    <w:p>
      <w:pPr>
        <w:pStyle w:val="ListParagraph"/>
        <w:numPr>
          <w:ilvl w:val="0"/>
          <w:numId w:val="2"/>
        </w:numPr>
        <w:spacing w:after="80"/>
      </w:pPr>
      <w:r>
        <w:rPr>
          <w:rFonts w:ascii="Arial" w:cs="Arial" w:eastAsia="Arial" w:hAnsi="Arial"/>
          <w:color w:val="111111"/>
          <w:sz w:val="20"/>
          <w:szCs w:val="20"/>
        </w:rPr>
        <w:t xml:space="preserve">CIDR table: quick-reference for subnet masks and host counts. The row matching the currently entered mask is highlighted. Click any row to apply it.</w:t>
      </w:r>
    </w:p>
    <w:p>
      <w:pPr>
        <w:pStyle w:val="ListParagraph"/>
        <w:numPr>
          <w:ilvl w:val="0"/>
          <w:numId w:val="2"/>
        </w:numPr>
        <w:spacing w:after="80"/>
      </w:pPr>
      <w:r>
        <w:rPr>
          <w:rFonts w:ascii="Arial" w:cs="Arial" w:eastAsia="Arial" w:hAnsi="Arial"/>
          <w:color w:val="111111"/>
          <w:sz w:val="20"/>
          <w:szCs w:val="20"/>
        </w:rPr>
        <w:t xml:space="preserve">Multi-IP: assigns a secondary IP to the adapter without changing the primary. Used to reach factory-default devices on a different subnet while staying on the main network. Must be removed after the job.</w:t>
      </w:r>
    </w:p>
    <w:p>
      <w:pPr>
        <w:spacing w:after="80"/>
      </w:pPr>
    </w:p>
    <w:p>
      <w:pPr>
        <w:pStyle w:val="Heading2"/>
        <w:spacing w:after="100" w:before="240"/>
      </w:pPr>
      <w:r>
        <w:rPr>
          <w:rFonts w:ascii="Arial" w:cs="Arial" w:eastAsia="Arial" w:hAnsi="Arial"/>
          <w:b/>
          <w:bCs/>
          <w:color w:val="1B5E8C"/>
          <w:sz w:val="26"/>
          <w:szCs w:val="26"/>
        </w:rPr>
        <w:t xml:space="preserve">3.2  PING — Connectivity Monitor</w:t>
      </w:r>
    </w:p>
    <w:p>
      <w:pPr>
        <w:spacing w:after="140"/>
      </w:pPr>
      <w:r>
        <w:rPr>
          <w:rFonts w:ascii="Arial" w:cs="Arial" w:eastAsia="Arial" w:hAnsi="Arial"/>
          <w:color w:val="111111"/>
          <w:sz w:val="20"/>
          <w:szCs w:val="20"/>
        </w:rPr>
        <w:t xml:space="preserve">Continuous monitoring of up to 8 hosts simultaneously.</w:t>
      </w:r>
    </w:p>
    <w:p>
      <w:pPr>
        <w:pStyle w:val="ListParagraph"/>
        <w:numPr>
          <w:ilvl w:val="0"/>
          <w:numId w:val="2"/>
        </w:numPr>
        <w:spacing w:after="80"/>
      </w:pPr>
      <w:r>
        <w:rPr>
          <w:rFonts w:ascii="Arial" w:cs="Arial" w:eastAsia="Arial" w:hAnsi="Arial"/>
          <w:color w:val="111111"/>
          <w:sz w:val="20"/>
          <w:szCs w:val="20"/>
        </w:rPr>
        <w:t xml:space="preserve">Uses TCP port 80 rather than ICMP. Managed switches and security appliances frequently block ICMP but pass TCP—making TCP a more reliable field indicator.</w:t>
      </w:r>
    </w:p>
    <w:p>
      <w:pPr>
        <w:pStyle w:val="ListParagraph"/>
        <w:numPr>
          <w:ilvl w:val="0"/>
          <w:numId w:val="2"/>
        </w:numPr>
        <w:spacing w:after="80"/>
      </w:pPr>
      <w:r>
        <w:rPr>
          <w:rFonts w:ascii="Arial" w:cs="Arial" w:eastAsia="Arial" w:hAnsi="Arial"/>
          <w:color w:val="111111"/>
          <w:sz w:val="20"/>
          <w:szCs w:val="20"/>
        </w:rPr>
        <w:t xml:space="preserve">+ GATEWAY and + MY IP quick-fill buttons populate the most common targets automatically.</w:t>
      </w:r>
    </w:p>
    <w:p>
      <w:pPr>
        <w:pStyle w:val="ListParagraph"/>
        <w:numPr>
          <w:ilvl w:val="0"/>
          <w:numId w:val="2"/>
        </w:numPr>
        <w:spacing w:after="80"/>
      </w:pPr>
      <w:r>
        <w:rPr>
          <w:rFonts w:ascii="Arial" w:cs="Arial" w:eastAsia="Arial" w:hAnsi="Arial"/>
          <w:color w:val="111111"/>
          <w:sz w:val="20"/>
          <w:szCs w:val="20"/>
        </w:rPr>
        <w:t xml:space="preserve">Each row shows a live status dot (green &lt;150ms, amber ≥150ms, red = no response), round-trip time, and a 60-sample sparkline showing response history at a glance.</w:t>
      </w:r>
    </w:p>
    <w:p>
      <w:pPr>
        <w:pStyle w:val="ListParagraph"/>
        <w:numPr>
          <w:ilvl w:val="0"/>
          <w:numId w:val="2"/>
        </w:numPr>
        <w:spacing w:after="80"/>
      </w:pPr>
      <w:r>
        <w:rPr>
          <w:rFonts w:ascii="Arial" w:cs="Arial" w:eastAsia="Arial" w:hAnsi="Arial"/>
          <w:color w:val="111111"/>
          <w:sz w:val="20"/>
          <w:szCs w:val="20"/>
        </w:rPr>
        <w:t xml:space="preserve">TRCRT runs a traceroute against that host and streams hops live.</w:t>
      </w:r>
    </w:p>
    <w:p>
      <w:pPr>
        <w:pStyle w:val="ListParagraph"/>
        <w:numPr>
          <w:ilvl w:val="0"/>
          <w:numId w:val="2"/>
        </w:numPr>
        <w:spacing w:after="80"/>
      </w:pPr>
      <w:r>
        <w:rPr>
          <w:rFonts w:ascii="Arial" w:cs="Arial" w:eastAsia="Arial" w:hAnsi="Arial"/>
          <w:color w:val="111111"/>
          <w:sz w:val="20"/>
          <w:szCs w:val="20"/>
        </w:rPr>
        <w:t xml:space="preserve">COPY exports the full ping summary to clipboard for pasting into service reports.</w:t>
      </w:r>
    </w:p>
    <w:p>
      <w:pPr>
        <w:pStyle w:val="ListParagraph"/>
        <w:numPr>
          <w:ilvl w:val="0"/>
          <w:numId w:val="2"/>
        </w:numPr>
        <w:spacing w:after="80"/>
      </w:pPr>
      <w:r>
        <w:rPr>
          <w:rFonts w:ascii="Arial" w:cs="Arial" w:eastAsia="Arial" w:hAnsi="Arial"/>
          <w:color w:val="111111"/>
          <w:sz w:val="20"/>
          <w:szCs w:val="20"/>
        </w:rPr>
        <w:t xml:space="preserve">Interval selector: 1s, 2s, 5s, or 10s. PAUSE preserves data. STOP resets.</w:t>
      </w:r>
    </w:p>
    <w:p>
      <w:pPr>
        <w:spacing w:after="80"/>
      </w:pPr>
    </w:p>
    <w:p>
      <w:pPr>
        <w:pStyle w:val="Heading2"/>
        <w:spacing w:after="100" w:before="240"/>
      </w:pPr>
      <w:r>
        <w:rPr>
          <w:rFonts w:ascii="Arial" w:cs="Arial" w:eastAsia="Arial" w:hAnsi="Arial"/>
          <w:b/>
          <w:bCs/>
          <w:color w:val="1B5E8C"/>
          <w:sz w:val="26"/>
          <w:szCs w:val="26"/>
        </w:rPr>
        <w:t xml:space="preserve">3.3  SCAN — Subnet Discovery</w:t>
      </w:r>
    </w:p>
    <w:p>
      <w:pPr>
        <w:spacing w:after="140"/>
      </w:pPr>
      <w:r>
        <w:rPr>
          <w:rFonts w:ascii="Arial" w:cs="Arial" w:eastAsia="Arial" w:hAnsi="Arial"/>
          <w:color w:val="111111"/>
          <w:sz w:val="20"/>
          <w:szCs w:val="20"/>
        </w:rPr>
        <w:t xml:space="preserve">ICMP + ARP sweep of the current subnet.</w:t>
      </w:r>
    </w:p>
    <w:p>
      <w:pPr>
        <w:pStyle w:val="ListParagraph"/>
        <w:numPr>
          <w:ilvl w:val="0"/>
          <w:numId w:val="2"/>
        </w:numPr>
        <w:spacing w:after="80"/>
      </w:pPr>
      <w:r>
        <w:rPr>
          <w:rFonts w:ascii="Arial" w:cs="Arial" w:eastAsia="Arial" w:hAnsi="Arial"/>
          <w:color w:val="111111"/>
          <w:sz w:val="20"/>
          <w:szCs w:val="20"/>
        </w:rPr>
        <w:t xml:space="preserve">Auto-detect reads the adapter’s current IP and fills in the base address. The range field limits the scan to a host range (e.g. 1–100) instead of the full /24.</w:t>
      </w:r>
    </w:p>
    <w:p>
      <w:pPr>
        <w:pStyle w:val="ListParagraph"/>
        <w:numPr>
          <w:ilvl w:val="0"/>
          <w:numId w:val="2"/>
        </w:numPr>
        <w:spacing w:after="80"/>
      </w:pPr>
      <w:r>
        <w:rPr>
          <w:rFonts w:ascii="Arial" w:cs="Arial" w:eastAsia="Arial" w:hAnsi="Arial"/>
          <w:color w:val="111111"/>
          <w:sz w:val="20"/>
          <w:szCs w:val="20"/>
        </w:rPr>
        <w:t xml:space="preserve">Results show IP, MAC, hostname, OUI vendor (resolved from the bundled 57,000-entry offline database), response time, and open ports.</w:t>
      </w:r>
    </w:p>
    <w:p>
      <w:pPr>
        <w:pStyle w:val="ListParagraph"/>
        <w:numPr>
          <w:ilvl w:val="0"/>
          <w:numId w:val="2"/>
        </w:numPr>
        <w:spacing w:after="80"/>
      </w:pPr>
      <w:r>
        <w:rPr>
          <w:rFonts w:ascii="Arial" w:cs="Arial" w:eastAsia="Arial" w:hAnsi="Arial"/>
          <w:color w:val="111111"/>
          <w:sz w:val="20"/>
          <w:szCs w:val="20"/>
        </w:rPr>
        <w:t xml:space="preserve">Device type colour bars: amber = camera/NVR, blue = network, coral = server, green = workstation, cyan = access control.</w:t>
      </w:r>
    </w:p>
    <w:p>
      <w:pPr>
        <w:pStyle w:val="ListParagraph"/>
        <w:numPr>
          <w:ilvl w:val="0"/>
          <w:numId w:val="2"/>
        </w:numPr>
        <w:spacing w:after="80"/>
      </w:pPr>
      <w:r>
        <w:rPr>
          <w:rFonts w:ascii="Arial" w:cs="Arial" w:eastAsia="Arial" w:hAnsi="Arial"/>
          <w:color w:val="111111"/>
          <w:sz w:val="20"/>
          <w:szCs w:val="20"/>
        </w:rPr>
        <w:t xml:space="preserve">OPEN launches the device web UI. For RTSP cameras without a web UI it copies the RTSP URL. RDP and SSH buttons are present where applicable.</w:t>
      </w:r>
    </w:p>
    <w:p>
      <w:pPr>
        <w:pStyle w:val="ListParagraph"/>
        <w:numPr>
          <w:ilvl w:val="0"/>
          <w:numId w:val="2"/>
        </w:numPr>
        <w:spacing w:after="80"/>
      </w:pPr>
      <w:r>
        <w:rPr>
          <w:rFonts w:ascii="Arial" w:cs="Arial" w:eastAsia="Arial" w:hAnsi="Arial"/>
          <w:color w:val="111111"/>
          <w:sz w:val="20"/>
          <w:szCs w:val="20"/>
        </w:rPr>
        <w:t xml:space="preserve">SAVE SITE pushes scan results to the SITES tab.</w:t>
      </w:r>
    </w:p>
    <w:p>
      <w:pPr>
        <w:spacing w:after="80"/>
      </w:pPr>
    </w:p>
    <w:p>
      <w:pPr>
        <w:pStyle w:val="Heading2"/>
        <w:spacing w:after="100" w:before="240"/>
      </w:pPr>
      <w:r>
        <w:rPr>
          <w:rFonts w:ascii="Arial" w:cs="Arial" w:eastAsia="Arial" w:hAnsi="Arial"/>
          <w:b/>
          <w:bCs/>
          <w:color w:val="1B5E8C"/>
          <w:sz w:val="26"/>
          <w:szCs w:val="26"/>
        </w:rPr>
        <w:t xml:space="preserve">3.4  SITES — Site Intelligence</w:t>
      </w:r>
    </w:p>
    <w:p>
      <w:pPr>
        <w:spacing w:after="140"/>
      </w:pPr>
      <w:r>
        <w:rPr>
          <w:rFonts w:ascii="Arial" w:cs="Arial" w:eastAsia="Arial" w:hAnsi="Arial"/>
          <w:color w:val="111111"/>
          <w:sz w:val="20"/>
          <w:szCs w:val="20"/>
        </w:rPr>
        <w:t xml:space="preserve">Persistent device records across multiple site visits.</w:t>
      </w:r>
    </w:p>
    <w:p>
      <w:pPr>
        <w:pStyle w:val="ListParagraph"/>
        <w:numPr>
          <w:ilvl w:val="0"/>
          <w:numId w:val="2"/>
        </w:numPr>
        <w:spacing w:after="80"/>
      </w:pPr>
      <w:r>
        <w:rPr>
          <w:rFonts w:ascii="Arial" w:cs="Arial" w:eastAsia="Arial" w:hAnsi="Arial"/>
          <w:color w:val="111111"/>
          <w:sz w:val="20"/>
          <w:szCs w:val="20"/>
        </w:rPr>
        <w:t xml:space="preserve">Each site card shows name, tag, last scan date, device count, and change alerts: NEW (new MAC), MISSING (known device not responding), MOVED (known MAC at a different IP).</w:t>
      </w:r>
    </w:p>
    <w:p>
      <w:pPr>
        <w:pStyle w:val="ListParagraph"/>
        <w:numPr>
          <w:ilvl w:val="0"/>
          <w:numId w:val="2"/>
        </w:numPr>
        <w:spacing w:after="80"/>
      </w:pPr>
      <w:r>
        <w:rPr>
          <w:rFonts w:ascii="Arial" w:cs="Arial" w:eastAsia="Arial" w:hAnsi="Arial"/>
          <w:color w:val="111111"/>
          <w:sz w:val="20"/>
          <w:szCs w:val="20"/>
        </w:rPr>
        <w:t xml:space="preserve">Device drawers expand to show full detail: MAC, hostname, first/last seen, open ports, notes, and stored credentials.</w:t>
      </w:r>
    </w:p>
    <w:p>
      <w:pPr>
        <w:pStyle w:val="ListParagraph"/>
        <w:numPr>
          <w:ilvl w:val="0"/>
          <w:numId w:val="2"/>
        </w:numPr>
        <w:spacing w:after="80"/>
      </w:pPr>
      <w:r>
        <w:rPr>
          <w:rFonts w:ascii="Arial" w:cs="Arial" w:eastAsia="Arial" w:hAnsi="Arial"/>
          <w:color w:val="111111"/>
          <w:sz w:val="20"/>
          <w:szCs w:val="20"/>
        </w:rPr>
        <w:t xml:space="preserve">Device type chips cycle through: CAMERA, NVR/DVR, NETWORK, SERVER, WORKSTATION, ACCESS CTL, PRINTER, OTHER.</w:t>
      </w:r>
    </w:p>
    <w:p>
      <w:pPr>
        <w:pStyle w:val="ListParagraph"/>
        <w:numPr>
          <w:ilvl w:val="0"/>
          <w:numId w:val="2"/>
        </w:numPr>
        <w:spacing w:after="80"/>
      </w:pPr>
      <w:r>
        <w:rPr>
          <w:rFonts w:ascii="Arial" w:cs="Arial" w:eastAsia="Arial" w:hAnsi="Arial"/>
          <w:color w:val="111111"/>
          <w:sz w:val="20"/>
          <w:szCs w:val="20"/>
        </w:rPr>
        <w:t xml:space="preserve">EXCEL exports the full device roster and site summary to a formatted .xlsx workbook.</w:t>
      </w:r>
    </w:p>
    <w:p>
      <w:pPr>
        <w:pStyle w:val="ListParagraph"/>
        <w:numPr>
          <w:ilvl w:val="0"/>
          <w:numId w:val="2"/>
        </w:numPr>
        <w:spacing w:after="80"/>
      </w:pPr>
      <w:r>
        <w:rPr>
          <w:rFonts w:ascii="Arial" w:cs="Arial" w:eastAsia="Arial" w:hAnsi="Arial"/>
          <w:color w:val="111111"/>
          <w:sz w:val="20"/>
          <w:szCs w:val="20"/>
        </w:rPr>
        <w:t xml:space="preserve">IMPORT merges sites from a previously exported intel.json backup—useful for team handoffs.</w:t>
      </w:r>
    </w:p>
    <w:p>
      <w:pPr>
        <w:spacing w:after="80"/>
      </w:pPr>
    </w:p>
    <w:p>
      <w:pPr>
        <w:pStyle w:val="Heading1"/>
        <w:pBdr>
          <w:bottom w:val="single" w:color="1B2A3B" w:sz="6" w:space="4"/>
        </w:pBdr>
        <w:spacing w:after="160" w:before="320"/>
      </w:pPr>
      <w:r>
        <w:rPr>
          <w:rFonts w:ascii="Arial" w:cs="Arial" w:eastAsia="Arial" w:hAnsi="Arial"/>
          <w:b/>
          <w:bCs/>
          <w:color w:val="1B2A3B"/>
          <w:sz w:val="32"/>
          <w:szCs w:val="32"/>
        </w:rPr>
        <w:t xml:space="preserve">4.  Window Controls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0D7DE" w:sz="1"/>
              <w:left w:val="single" w:color="D0D7DE" w:sz="1"/>
              <w:bottom w:val="single" w:color="D0D7DE" w:sz="1"/>
              <w:right w:val="single" w:color="D0D7DE" w:sz="1"/>
            </w:tcBorders>
            <w:shd w:fill="1B2A3B" w:val="clear"/>
            <w:tcMar>
              <w:top w:type="dxa" w:w="80"/>
              <w:left w:type="dxa" w:w="140"/>
              <w:bottom w:type="dxa" w:w="80"/>
              <w:right w:type="dxa" w:w="140"/>
            </w:tcMar>
            <w:vAlign w:val="center"/>
          </w:tcPr>
          <w:p>
            <w:pPr>
              <w:jc w:val="left"/>
            </w:pPr>
            <w:r>
              <w:rPr>
                <w:rFonts w:ascii="Arial" w:cs="Arial" w:eastAsia="Arial" w:hAnsi="Arial"/>
                <w:b/>
                <w:bCs/>
                <w:color w:val="FFFFFF"/>
                <w:sz w:val="20"/>
                <w:szCs w:val="20"/>
              </w:rPr>
              <w:t xml:space="preserve">CONTROL</w:t>
            </w:r>
          </w:p>
        </w:tc>
        <w:tc>
          <w:tcPr>
            <w:tcW w:type="dxa" w:w="7160"/>
            <w:tcBorders>
              <w:top w:val="single" w:color="D0D7DE" w:sz="1"/>
              <w:left w:val="single" w:color="D0D7DE" w:sz="1"/>
              <w:bottom w:val="single" w:color="D0D7DE" w:sz="1"/>
              <w:right w:val="single" w:color="D0D7DE" w:sz="1"/>
            </w:tcBorders>
            <w:shd w:fill="1B2A3B" w:val="clear"/>
            <w:tcMar>
              <w:top w:type="dxa" w:w="80"/>
              <w:left w:type="dxa" w:w="140"/>
              <w:bottom w:type="dxa" w:w="80"/>
              <w:right w:type="dxa" w:w="140"/>
            </w:tcMar>
            <w:vAlign w:val="center"/>
          </w:tcPr>
          <w:p>
            <w:pPr>
              <w:jc w:val="left"/>
            </w:pPr>
            <w:r>
              <w:rPr>
                <w:rFonts w:ascii="Arial" w:cs="Arial" w:eastAsia="Arial" w:hAnsi="Arial"/>
                <w:b/>
                <w:bCs/>
                <w:color w:val="FFFFFF"/>
                <w:sz w:val="20"/>
                <w:szCs w:val="20"/>
              </w:rPr>
              <w:t xml:space="preserve">FUNCTION</w:t>
            </w:r>
          </w:p>
        </w:tc>
      </w:tr>
      <w:tr>
        <w:tc>
          <w:tcPr>
            <w:tcW w:type="dxa" w:w="220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bCs/>
                <w:color w:val="111111"/>
                <w:sz w:val="20"/>
                <w:szCs w:val="20"/>
              </w:rPr>
              <w:t xml:space="preserve">◑ Opacity</w:t>
            </w:r>
          </w:p>
        </w:tc>
        <w:tc>
          <w:tcPr>
            <w:tcW w:type="dxa" w:w="716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Drops the window to 45% opacity. The interface remains interactive but lets you see and work with content behind it.</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40"/>
              <w:bottom w:type="dxa" w:w="80"/>
              <w:right w:type="dxa" w:w="140"/>
            </w:tcMar>
            <w:vAlign w:val="center"/>
          </w:tcPr>
          <w:p>
            <w:r>
              <w:rPr>
                <w:rFonts w:ascii="Arial" w:cs="Arial" w:eastAsia="Arial" w:hAnsi="Arial"/>
                <w:b/>
                <w:bCs/>
                <w:color w:val="111111"/>
                <w:sz w:val="20"/>
                <w:szCs w:val="20"/>
              </w:rPr>
              <w:t xml:space="preserve">⊞ Zoom</w:t>
            </w:r>
          </w:p>
        </w:tc>
        <w:tc>
          <w:tcPr>
            <w:tcW w:type="dxa" w:w="7160"/>
            <w:tcBorders>
              <w:top w:val="single" w:color="D0D7DE" w:sz="1"/>
              <w:left w:val="single" w:color="D0D7DE" w:sz="1"/>
              <w:bottom w:val="single" w:color="D0D7DE" w:sz="1"/>
              <w:right w:val="single" w:color="D0D7DE" w:sz="1"/>
            </w:tcBorders>
            <w:shd w:fill="FFFFFF"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Cycles through three window sizes. Useful on high-DPI screens or with a portable monitor.</w:t>
            </w:r>
          </w:p>
        </w:tc>
      </w:tr>
      <w:tr>
        <w:tc>
          <w:tcPr>
            <w:tcW w:type="dxa" w:w="220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bCs/>
                <w:color w:val="111111"/>
                <w:sz w:val="20"/>
                <w:szCs w:val="20"/>
              </w:rPr>
              <w:t xml:space="preserve">▣ Theme</w:t>
            </w:r>
          </w:p>
        </w:tc>
        <w:tc>
          <w:tcPr>
            <w:tcW w:type="dxa" w:w="716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Opens the colour picker. Six built-in palettes plus custom accent, label, and background colours.</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40"/>
              <w:bottom w:type="dxa" w:w="80"/>
              <w:right w:type="dxa" w:w="140"/>
            </w:tcMar>
            <w:vAlign w:val="center"/>
          </w:tcPr>
          <w:p>
            <w:r>
              <w:rPr>
                <w:rFonts w:ascii="Arial" w:cs="Arial" w:eastAsia="Arial" w:hAnsi="Arial"/>
                <w:b/>
                <w:bCs/>
                <w:color w:val="111111"/>
                <w:sz w:val="20"/>
                <w:szCs w:val="20"/>
              </w:rPr>
              <w:t xml:space="preserve">? Help</w:t>
            </w:r>
          </w:p>
        </w:tc>
        <w:tc>
          <w:tcPr>
            <w:tcW w:type="dxa" w:w="7160"/>
            <w:tcBorders>
              <w:top w:val="single" w:color="D0D7DE" w:sz="1"/>
              <w:left w:val="single" w:color="D0D7DE" w:sz="1"/>
              <w:bottom w:val="single" w:color="D0D7DE" w:sz="1"/>
              <w:right w:val="single" w:color="D0D7DE" w:sz="1"/>
            </w:tcBorders>
            <w:shd w:fill="FFFFFF"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Opens the in-app quick-reference panel.</w:t>
            </w:r>
          </w:p>
        </w:tc>
      </w:tr>
      <w:tr>
        <w:tc>
          <w:tcPr>
            <w:tcW w:type="dxa" w:w="220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bCs/>
                <w:color w:val="111111"/>
                <w:sz w:val="20"/>
                <w:szCs w:val="20"/>
              </w:rPr>
              <w:t xml:space="preserve">Tray icon</w:t>
            </w:r>
          </w:p>
        </w:tc>
        <w:tc>
          <w:tcPr>
            <w:tcW w:type="dxa" w:w="7160"/>
            <w:tcBorders>
              <w:top w:val="single" w:color="D0D7DE" w:sz="1"/>
              <w:left w:val="single" w:color="D0D7DE" w:sz="1"/>
              <w:bottom w:val="single" w:color="D0D7DE" w:sz="1"/>
              <w:right w:val="single" w:color="D0D7DE" w:sz="1"/>
            </w:tcBorders>
            <w:shd w:fill="F4F6F8"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Closing the window minimises to the system tray. The app keeps running. Right-click for always-on-top, start with Windows, and quit.</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40"/>
              <w:bottom w:type="dxa" w:w="80"/>
              <w:right w:type="dxa" w:w="140"/>
            </w:tcMar>
            <w:vAlign w:val="center"/>
          </w:tcPr>
          <w:p>
            <w:r>
              <w:rPr>
                <w:rFonts w:ascii="Arial" w:cs="Arial" w:eastAsia="Arial" w:hAnsi="Arial"/>
                <w:b/>
                <w:bCs/>
                <w:color w:val="111111"/>
                <w:sz w:val="20"/>
                <w:szCs w:val="20"/>
              </w:rPr>
              <w:t xml:space="preserve">Always on top</w:t>
            </w:r>
          </w:p>
        </w:tc>
        <w:tc>
          <w:tcPr>
            <w:tcW w:type="dxa" w:w="7160"/>
            <w:tcBorders>
              <w:top w:val="single" w:color="D0D7DE" w:sz="1"/>
              <w:left w:val="single" w:color="D0D7DE" w:sz="1"/>
              <w:bottom w:val="single" w:color="D0D7DE" w:sz="1"/>
              <w:right w:val="single" w:color="D0D7DE" w:sz="1"/>
            </w:tcBorders>
            <w:shd w:fill="FFFFFF" w:val="clear"/>
            <w:tcMar>
              <w:top w:type="dxa" w:w="80"/>
              <w:left w:type="dxa" w:w="140"/>
              <w:bottom w:type="dxa" w:w="80"/>
              <w:right w:type="dxa" w:w="140"/>
            </w:tcMar>
            <w:vAlign w:val="center"/>
          </w:tcPr>
          <w:p>
            <w:r>
              <w:rPr>
                <w:rFonts w:ascii="Arial" w:cs="Arial" w:eastAsia="Arial" w:hAnsi="Arial"/>
                <w:b w:val="false"/>
                <w:bCs w:val="false"/>
                <w:color w:val="111111"/>
                <w:sz w:val="20"/>
                <w:szCs w:val="20"/>
              </w:rPr>
              <w:t xml:space="preserve">Keeps NET//ETHER visible over other windows—useful when switching between the tool and a browser or RDP session.</w:t>
            </w:r>
          </w:p>
        </w:tc>
      </w:tr>
    </w:tbl>
    <w:p>
      <w:pPr>
        <w:spacing w:after="160"/>
      </w:pPr>
    </w:p>
    <w:p>
      <w:pPr>
        <w:pStyle w:val="Heading1"/>
        <w:pBdr>
          <w:bottom w:val="single" w:color="1B2A3B" w:sz="6" w:space="4"/>
        </w:pBdr>
        <w:spacing w:after="160" w:before="320"/>
      </w:pPr>
      <w:r>
        <w:rPr>
          <w:rFonts w:ascii="Arial" w:cs="Arial" w:eastAsia="Arial" w:hAnsi="Arial"/>
          <w:b/>
          <w:bCs/>
          <w:color w:val="1B2A3B"/>
          <w:sz w:val="32"/>
          <w:szCs w:val="32"/>
        </w:rPr>
        <w:t xml:space="preserve">5.  Common Workflows</w:t>
      </w:r>
    </w:p>
    <w:p>
      <w:pPr>
        <w:pStyle w:val="Heading2"/>
        <w:spacing w:after="100" w:before="240"/>
      </w:pPr>
      <w:r>
        <w:rPr>
          <w:rFonts w:ascii="Arial" w:cs="Arial" w:eastAsia="Arial" w:hAnsi="Arial"/>
          <w:b/>
          <w:bCs/>
          <w:color w:val="1B5E8C"/>
          <w:sz w:val="26"/>
          <w:szCs w:val="26"/>
        </w:rPr>
        <w:t xml:space="preserve">5.1  Arriving at a New Site</w:t>
      </w:r>
    </w:p>
    <w:p>
      <w:pPr>
        <w:spacing w:after="140"/>
      </w:pPr>
      <w:r>
        <w:rPr>
          <w:rFonts w:ascii="Arial" w:cs="Arial" w:eastAsia="Arial" w:hAnsi="Arial"/>
          <w:color w:val="111111"/>
          <w:sz w:val="20"/>
          <w:szCs w:val="20"/>
        </w:rPr>
        <w:t xml:space="preserve">Connect to the client network. Open the ETHER tab—the LIVE preset auto-reads the adapter state. If a static IP is needed, select a preset or type directly, then click APPLY CONFIG. Switch to SCAN, click the auto-detect button, and run a sweep to see what’s on the network. Save the results to SITES.</w:t>
      </w:r>
    </w:p>
    <w:p>
      <w:pPr>
        <w:pStyle w:val="Heading2"/>
        <w:spacing w:after="100" w:before="240"/>
      </w:pPr>
      <w:r>
        <w:rPr>
          <w:rFonts w:ascii="Arial" w:cs="Arial" w:eastAsia="Arial" w:hAnsi="Arial"/>
          <w:b/>
          <w:bCs/>
          <w:color w:val="1B5E8C"/>
          <w:sz w:val="26"/>
          <w:szCs w:val="26"/>
        </w:rPr>
        <w:t xml:space="preserve">5.2  Tracking Down a Missing Device</w:t>
      </w:r>
    </w:p>
    <w:p>
      <w:pPr>
        <w:spacing w:after="140"/>
      </w:pPr>
      <w:r>
        <w:rPr>
          <w:rFonts w:ascii="Arial" w:cs="Arial" w:eastAsia="Arial" w:hAnsi="Arial"/>
          <w:color w:val="111111"/>
          <w:sz w:val="20"/>
          <w:szCs w:val="20"/>
        </w:rPr>
        <w:t xml:space="preserve">Open SITES and select the site. Any device that didn’t respond on the last scan shows a MISSING badge. Devices that moved show MOVED with the new IP. Run SCAN NOW to refresh. If the device appears at a new IP, update the site record.</w:t>
      </w:r>
    </w:p>
    <w:p>
      <w:pPr>
        <w:pStyle w:val="Heading2"/>
        <w:spacing w:after="100" w:before="240"/>
      </w:pPr>
      <w:r>
        <w:rPr>
          <w:rFonts w:ascii="Arial" w:cs="Arial" w:eastAsia="Arial" w:hAnsi="Arial"/>
          <w:b/>
          <w:bCs/>
          <w:color w:val="1B5E8C"/>
          <w:sz w:val="26"/>
          <w:szCs w:val="26"/>
        </w:rPr>
        <w:t xml:space="preserve">5.3  Diagnosing Connectivity Problems</w:t>
      </w:r>
    </w:p>
    <w:p>
      <w:pPr>
        <w:spacing w:after="140"/>
      </w:pPr>
      <w:r>
        <w:rPr>
          <w:rFonts w:ascii="Arial" w:cs="Arial" w:eastAsia="Arial" w:hAnsi="Arial"/>
          <w:color w:val="111111"/>
          <w:sz w:val="20"/>
          <w:szCs w:val="20"/>
        </w:rPr>
        <w:t xml:space="preserve">Switch to PING. Click + GATEWAY to add the gateway, then manually add the NVR and any other key hosts. Click START and observe. Amber dots indicate high latency; red indicates no response. Use TRCRT on a slow host to identify where the delay is introduced. Copy results to clipboard for the service report.</w:t>
      </w:r>
    </w:p>
    <w:p>
      <w:pPr>
        <w:pStyle w:val="Heading2"/>
        <w:spacing w:after="100" w:before="240"/>
      </w:pPr>
      <w:r>
        <w:rPr>
          <w:rFonts w:ascii="Arial" w:cs="Arial" w:eastAsia="Arial" w:hAnsi="Arial"/>
          <w:b/>
          <w:bCs/>
          <w:color w:val="1B5E8C"/>
          <w:sz w:val="26"/>
          <w:szCs w:val="26"/>
        </w:rPr>
        <w:t xml:space="preserve">5.4  Handing Off to Another Technician</w:t>
      </w:r>
    </w:p>
    <w:p>
      <w:pPr>
        <w:spacing w:after="140"/>
      </w:pPr>
      <w:r>
        <w:rPr>
          <w:rFonts w:ascii="Arial" w:cs="Arial" w:eastAsia="Arial" w:hAnsi="Arial"/>
          <w:color w:val="111111"/>
          <w:sz w:val="20"/>
          <w:szCs w:val="20"/>
        </w:rPr>
        <w:t xml:space="preserve">From SITES, click EXCEL on the relevant site. The exported workbook includes every device, its IP, MAC, vendor, type, and any recorded notes or credentials. The incoming technician can import the intel.json backup directly if they are also running NET//ETHER.</w:t>
      </w:r>
    </w:p>
    <w:p>
      <w:pPr>
        <w:spacing w:after="80"/>
      </w:pPr>
    </w:p>
    <w:p>
      <w:pPr>
        <w:pStyle w:val="Heading1"/>
        <w:pBdr>
          <w:bottom w:val="single" w:color="1B2A3B" w:sz="6" w:space="4"/>
        </w:pBdr>
        <w:spacing w:after="160" w:before="320"/>
      </w:pPr>
      <w:r>
        <w:rPr>
          <w:rFonts w:ascii="Arial" w:cs="Arial" w:eastAsia="Arial" w:hAnsi="Arial"/>
          <w:b/>
          <w:bCs/>
          <w:color w:val="1B2A3B"/>
          <w:sz w:val="32"/>
          <w:szCs w:val="32"/>
        </w:rPr>
        <w:t xml:space="preserve">6.  Data &amp; Privacy</w:t>
      </w:r>
    </w:p>
    <w:p>
      <w:pPr>
        <w:spacing w:after="140"/>
      </w:pPr>
      <w:r>
        <w:rPr>
          <w:rFonts w:ascii="Arial" w:cs="Arial" w:eastAsia="Arial" w:hAnsi="Arial"/>
          <w:color w:val="111111"/>
          <w:sz w:val="20"/>
          <w:szCs w:val="20"/>
        </w:rPr>
        <w:t xml:space="preserve">NET//ETHER stores all data on the technician’s machine under %APPDATA%\net-ether\. Nothing is transmitted externally. The OUI vendor database is bundled offline—no internet connection is required for any core function.</w:t>
      </w:r>
    </w:p>
    <w:p>
      <w:pPr>
        <w:pStyle w:val="ListParagraph"/>
        <w:numPr>
          <w:ilvl w:val="0"/>
          <w:numId w:val="2"/>
        </w:numPr>
        <w:spacing w:after="80"/>
      </w:pPr>
      <w:r>
        <w:rPr>
          <w:rFonts w:ascii="Arial" w:cs="Arial" w:eastAsia="Arial" w:hAnsi="Arial"/>
          <w:color w:val="111111"/>
          <w:sz w:val="20"/>
          <w:szCs w:val="20"/>
        </w:rPr>
        <w:t xml:space="preserve">No software is installed on client systems.</w:t>
      </w:r>
    </w:p>
    <w:p>
      <w:pPr>
        <w:pStyle w:val="ListParagraph"/>
        <w:numPr>
          <w:ilvl w:val="0"/>
          <w:numId w:val="2"/>
        </w:numPr>
        <w:spacing w:after="80"/>
      </w:pPr>
      <w:r>
        <w:rPr>
          <w:rFonts w:ascii="Arial" w:cs="Arial" w:eastAsia="Arial" w:hAnsi="Arial"/>
          <w:color w:val="111111"/>
          <w:sz w:val="20"/>
          <w:szCs w:val="20"/>
        </w:rPr>
        <w:t xml:space="preserve">No network credentials are transmitted externally.</w:t>
      </w:r>
    </w:p>
    <w:p>
      <w:pPr>
        <w:pStyle w:val="ListParagraph"/>
        <w:numPr>
          <w:ilvl w:val="0"/>
          <w:numId w:val="2"/>
        </w:numPr>
        <w:spacing w:after="80"/>
      </w:pPr>
      <w:r>
        <w:rPr>
          <w:rFonts w:ascii="Arial" w:cs="Arial" w:eastAsia="Arial" w:hAnsi="Arial"/>
          <w:color w:val="111111"/>
          <w:sz w:val="20"/>
          <w:szCs w:val="20"/>
        </w:rPr>
        <w:t xml:space="preserve">No client network data leaves the technician’s laptop.</w:t>
      </w:r>
    </w:p>
    <w:p>
      <w:pPr>
        <w:pStyle w:val="ListParagraph"/>
        <w:numPr>
          <w:ilvl w:val="0"/>
          <w:numId w:val="2"/>
        </w:numPr>
        <w:spacing w:after="80"/>
      </w:pPr>
      <w:r>
        <w:rPr>
          <w:rFonts w:ascii="Arial" w:cs="Arial" w:eastAsia="Arial" w:hAnsi="Arial"/>
          <w:color w:val="111111"/>
          <w:sz w:val="20"/>
          <w:szCs w:val="20"/>
        </w:rPr>
        <w:t xml:space="preserve">Uninstalling the application does not remove %APPDATA% data—site records are preserved for reinstallation.</w:t>
      </w:r>
    </w:p>
    <w:p>
      <w:pPr>
        <w:spacing w:after="160"/>
      </w:pPr>
    </w:p>
    <w:p>
      <w:pPr>
        <w:pBdr>
          <w:top w:val="single" w:color="1B2A3B" w:sz="6" w:space="6"/>
        </w:pBdr>
        <w:spacing w:after="80" w:before="240"/>
        <w:jc w:val="center"/>
      </w:pPr>
      <w:r>
        <w:rPr>
          <w:rFonts w:ascii="Arial" w:cs="Arial" w:eastAsia="Arial" w:hAnsi="Arial"/>
          <w:b/>
          <w:bCs/>
          <w:color w:val="1B2A3B"/>
          <w:sz w:val="20"/>
          <w:szCs w:val="20"/>
        </w:rPr>
        <w:t xml:space="preserve">NET//ETHER  —  Broman Enterprises</w:t>
      </w:r>
    </w:p>
    <w:p>
      <w:pPr>
        <w:jc w:val="center"/>
      </w:pPr>
      <w:r>
        <w:rPr>
          <w:rFonts w:ascii="Arial" w:cs="Arial" w:eastAsia="Arial" w:hAnsi="Arial"/>
          <w:i/>
          <w:iCs/>
          <w:color w:val="666666"/>
          <w:sz w:val="18"/>
          <w:szCs w:val="18"/>
        </w:rPr>
        <w:t xml:space="preserve">All data stored locally. No client systems affected. No external transmission of network data.</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jc w:val="right"/>
    </w:pPr>
    <w:r>
      <w:rPr>
        <w:rFonts w:ascii="Arial" w:cs="Arial" w:eastAsia="Arial" w:hAnsi="Arial"/>
        <w:color w:val="888888"/>
        <w:sz w:val="16"/>
        <w:szCs w:val="16"/>
      </w:rPr>
      <w:t xml:space="preserve">NET//ETHER  |  Broman Enterprises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B2A3B"/>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B5E8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2026-04-04T23:03:09.210Z</dcterms:created>
  <dcterms:modified xsi:type="dcterms:W3CDTF">2026-04-04T23:03:09.210Z</dcterms:modified>
</cp:coreProperties>
</file>

<file path=docProps/custom.xml><?xml version="1.0" encoding="utf-8"?>
<Properties xmlns="http://schemas.openxmlformats.org/officeDocument/2006/custom-properties" xmlns:vt="http://schemas.openxmlformats.org/officeDocument/2006/docPropsVTypes"/>
</file>