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D5BF2">
      <w:pPr>
        <w:pStyle w:val="36"/>
      </w:pPr>
      <w:r>
        <w:rPr>
          <w:color w:val="1F4E79"/>
        </w:rPr>
        <w:t>Free &amp; Low-Cost Resource Plan</w:t>
      </w:r>
    </w:p>
    <w:p w14:paraId="0BA41700">
      <w:pPr>
        <w:jc w:val="left"/>
      </w:pPr>
      <w:r>
        <w:rPr>
          <w:b/>
          <w:sz w:val="26"/>
        </w:rPr>
        <w:t>Model-Independent AI Engine &amp; Resume Builder Module</w:t>
      </w:r>
    </w:p>
    <w:p w14:paraId="0E20465D">
      <w:r>
        <w:rPr>
          <w:i/>
        </w:rPr>
        <w:t>Prepared for: Management  |  Version 1.0  |  July 2026</w:t>
      </w:r>
    </w:p>
    <w:p w14:paraId="01EEB420"/>
    <w:p w14:paraId="52B56C08">
      <w:pPr>
        <w:pStyle w:val="2"/>
      </w:pPr>
      <w:r>
        <w:rPr>
          <w:color w:val="1F4E79"/>
        </w:rPr>
        <w:t>1. Purpose</w:t>
      </w:r>
    </w:p>
    <w:p w14:paraId="628CCC7D">
      <w:r>
        <w:t>This document lists the free or near-free versions of every third-party service, model, and piece of infrastructure required to build and run the AI Engine and Resume Builder module (as defined in the Project Scope Document), so the project can be developed and demoed at little to no cost before committing budget to paid tiers.</w:t>
      </w:r>
    </w:p>
    <w:p w14:paraId="3C5B3587">
      <w:r>
        <w:t>Because the engine is model-independent and every backend is a configuration choice (never hard-coded), switching from a free resource to a paid one later is a settings change, not a rebuild.</w:t>
      </w:r>
    </w:p>
    <w:p w14:paraId="250EF18E">
      <w:pPr>
        <w:pStyle w:val="2"/>
      </w:pPr>
      <w:r>
        <w:rPr>
          <w:color w:val="1F4E79"/>
        </w:rPr>
        <w:t>2. Summary: Paid Component vs. Free Alternative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2043"/>
        <w:gridCol w:w="2680"/>
        <w:gridCol w:w="2352"/>
      </w:tblGrid>
      <w:tr w14:paraId="68BF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1F4E79"/>
          </w:tcPr>
          <w:p w14:paraId="6A90A7EA">
            <w:pPr>
              <w:spacing w:after="0" w:line="240" w:lineRule="auto"/>
            </w:pPr>
            <w:r>
              <w:rPr>
                <w:b/>
                <w:color w:val="FFFFFF"/>
                <w:sz w:val="20"/>
              </w:rPr>
              <w:t>Category</w:t>
            </w:r>
          </w:p>
        </w:tc>
        <w:tc>
          <w:tcPr>
            <w:tcW w:w="2448" w:type="dxa"/>
            <w:shd w:val="clear" w:color="auto" w:fill="1F4E79"/>
          </w:tcPr>
          <w:p w14:paraId="04784548">
            <w:pPr>
              <w:spacing w:after="0" w:line="240" w:lineRule="auto"/>
            </w:pPr>
            <w:r>
              <w:rPr>
                <w:b/>
                <w:color w:val="FFFFFF"/>
                <w:sz w:val="20"/>
              </w:rPr>
              <w:t>Paid Option</w:t>
            </w:r>
          </w:p>
        </w:tc>
        <w:tc>
          <w:tcPr>
            <w:tcW w:w="3312" w:type="dxa"/>
            <w:shd w:val="clear" w:color="auto" w:fill="1F4E79"/>
          </w:tcPr>
          <w:p w14:paraId="243BDF15">
            <w:pPr>
              <w:spacing w:after="0" w:line="240" w:lineRule="auto"/>
            </w:pPr>
            <w:r>
              <w:rPr>
                <w:b/>
                <w:color w:val="FFFFFF"/>
                <w:sz w:val="20"/>
              </w:rPr>
              <w:t>Free Alternative</w:t>
            </w:r>
          </w:p>
        </w:tc>
        <w:tc>
          <w:tcPr>
            <w:tcW w:w="2592" w:type="dxa"/>
            <w:shd w:val="clear" w:color="auto" w:fill="1F4E79"/>
          </w:tcPr>
          <w:p w14:paraId="4D9FB97B">
            <w:pPr>
              <w:spacing w:after="0" w:line="240" w:lineRule="auto"/>
            </w:pPr>
            <w:r>
              <w:rPr>
                <w:b/>
                <w:color w:val="FFFFFF"/>
                <w:sz w:val="20"/>
              </w:rPr>
              <w:t>Key Limit</w:t>
            </w:r>
          </w:p>
        </w:tc>
      </w:tr>
      <w:tr w14:paraId="72AA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2BF0D4C">
            <w:pPr>
              <w:spacing w:after="0" w:line="240" w:lineRule="auto"/>
            </w:pPr>
            <w:r>
              <w:rPr>
                <w:sz w:val="20"/>
              </w:rPr>
              <w:t>LLM inference</w:t>
            </w:r>
          </w:p>
        </w:tc>
        <w:tc>
          <w:tcPr>
            <w:tcW w:w="2448" w:type="dxa"/>
          </w:tcPr>
          <w:p w14:paraId="5FD06A49">
            <w:pPr>
              <w:spacing w:after="0" w:line="240" w:lineRule="auto"/>
            </w:pPr>
            <w:r>
              <w:rPr>
                <w:sz w:val="20"/>
              </w:rPr>
              <w:t>Claude Sonnet 4 / GPT-4o / Gemini Pro</w:t>
            </w:r>
          </w:p>
        </w:tc>
        <w:tc>
          <w:tcPr>
            <w:tcW w:w="3312" w:type="dxa"/>
          </w:tcPr>
          <w:p w14:paraId="3E46D863">
            <w:pPr>
              <w:spacing w:after="0" w:line="240" w:lineRule="auto"/>
            </w:pPr>
            <w:r>
              <w:rPr>
                <w:sz w:val="20"/>
              </w:rPr>
              <w:t>OpenRouter free models (DeepSeek, Qwen, Llama 3.3, GPT-OSS)</w:t>
            </w:r>
          </w:p>
        </w:tc>
        <w:tc>
          <w:tcPr>
            <w:tcW w:w="2592" w:type="dxa"/>
          </w:tcPr>
          <w:p w14:paraId="7B329360">
            <w:pPr>
              <w:spacing w:after="0" w:line="240" w:lineRule="auto"/>
            </w:pPr>
            <w:r>
              <w:rPr>
                <w:sz w:val="20"/>
              </w:rPr>
              <w:t>~20 req/min, 200 req/day per model</w:t>
            </w:r>
          </w:p>
        </w:tc>
      </w:tr>
      <w:tr w14:paraId="6E149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810CA73">
            <w:pPr>
              <w:spacing w:after="0" w:line="240" w:lineRule="auto"/>
            </w:pPr>
            <w:r>
              <w:rPr>
                <w:sz w:val="20"/>
              </w:rPr>
              <w:t>Compute / hosting</w:t>
            </w:r>
          </w:p>
        </w:tc>
        <w:tc>
          <w:tcPr>
            <w:tcW w:w="2448" w:type="dxa"/>
          </w:tcPr>
          <w:p w14:paraId="586AFC73">
            <w:pPr>
              <w:spacing w:after="0" w:line="240" w:lineRule="auto"/>
            </w:pPr>
            <w:r>
              <w:rPr>
                <w:sz w:val="20"/>
              </w:rPr>
              <w:t>AWS / GCP / Azure paid VM</w:t>
            </w:r>
          </w:p>
        </w:tc>
        <w:tc>
          <w:tcPr>
            <w:tcW w:w="3312" w:type="dxa"/>
          </w:tcPr>
          <w:p w14:paraId="10138AAC">
            <w:pPr>
              <w:spacing w:after="0" w:line="240" w:lineRule="auto"/>
            </w:pPr>
            <w:r>
              <w:rPr>
                <w:sz w:val="20"/>
              </w:rPr>
              <w:t>Render free web service, or Oracle Cloud Always Free VM</w:t>
            </w:r>
          </w:p>
        </w:tc>
        <w:tc>
          <w:tcPr>
            <w:tcW w:w="2592" w:type="dxa"/>
          </w:tcPr>
          <w:p w14:paraId="3E6F3FF7">
            <w:pPr>
              <w:spacing w:after="0" w:line="240" w:lineRule="auto"/>
            </w:pPr>
            <w:r>
              <w:rPr>
                <w:sz w:val="20"/>
              </w:rPr>
              <w:t>Render: spins down after 15 min idle; Oracle: 2 OCPU / 12GB RAM</w:t>
            </w:r>
          </w:p>
        </w:tc>
      </w:tr>
      <w:tr w14:paraId="4862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E850D01">
            <w:pPr>
              <w:spacing w:after="0" w:line="240" w:lineRule="auto"/>
            </w:pPr>
            <w:r>
              <w:rPr>
                <w:sz w:val="20"/>
              </w:rPr>
              <w:t>Database (checkpointing)</w:t>
            </w:r>
          </w:p>
        </w:tc>
        <w:tc>
          <w:tcPr>
            <w:tcW w:w="2448" w:type="dxa"/>
          </w:tcPr>
          <w:p w14:paraId="3190BA98">
            <w:pPr>
              <w:spacing w:after="0" w:line="240" w:lineRule="auto"/>
            </w:pPr>
            <w:r>
              <w:rPr>
                <w:sz w:val="20"/>
              </w:rPr>
              <w:t>Managed Postgres</w:t>
            </w:r>
          </w:p>
        </w:tc>
        <w:tc>
          <w:tcPr>
            <w:tcW w:w="3312" w:type="dxa"/>
          </w:tcPr>
          <w:p w14:paraId="440F10C8">
            <w:pPr>
              <w:spacing w:after="0" w:line="240" w:lineRule="auto"/>
            </w:pPr>
            <w:r>
              <w:rPr>
                <w:sz w:val="20"/>
              </w:rPr>
              <w:t>Neon free tier</w:t>
            </w:r>
          </w:p>
        </w:tc>
        <w:tc>
          <w:tcPr>
            <w:tcW w:w="2592" w:type="dxa"/>
          </w:tcPr>
          <w:p w14:paraId="6AD84649">
            <w:pPr>
              <w:spacing w:after="0" w:line="240" w:lineRule="auto"/>
            </w:pPr>
            <w:r>
              <w:rPr>
                <w:sz w:val="20"/>
              </w:rPr>
              <w:t>0.5GB storage, 100 compute-hrs/month, permanent</w:t>
            </w:r>
          </w:p>
        </w:tc>
      </w:tr>
      <w:tr w14:paraId="4922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42ECD69">
            <w:pPr>
              <w:spacing w:after="0" w:line="240" w:lineRule="auto"/>
            </w:pPr>
            <w:r>
              <w:rPr>
                <w:sz w:val="20"/>
              </w:rPr>
              <w:t>Cache / queue</w:t>
            </w:r>
          </w:p>
        </w:tc>
        <w:tc>
          <w:tcPr>
            <w:tcW w:w="2448" w:type="dxa"/>
          </w:tcPr>
          <w:p w14:paraId="209D5B46">
            <w:pPr>
              <w:spacing w:after="0" w:line="240" w:lineRule="auto"/>
            </w:pPr>
            <w:r>
              <w:rPr>
                <w:sz w:val="20"/>
              </w:rPr>
              <w:t>Managed Redis</w:t>
            </w:r>
          </w:p>
        </w:tc>
        <w:tc>
          <w:tcPr>
            <w:tcW w:w="3312" w:type="dxa"/>
          </w:tcPr>
          <w:p w14:paraId="02277882">
            <w:pPr>
              <w:spacing w:after="0" w:line="240" w:lineRule="auto"/>
            </w:pPr>
            <w:r>
              <w:rPr>
                <w:sz w:val="20"/>
              </w:rPr>
              <w:t>Upstash free tier</w:t>
            </w:r>
          </w:p>
        </w:tc>
        <w:tc>
          <w:tcPr>
            <w:tcW w:w="2592" w:type="dxa"/>
          </w:tcPr>
          <w:p w14:paraId="0C60360B">
            <w:pPr>
              <w:spacing w:after="0" w:line="240" w:lineRule="auto"/>
            </w:pPr>
            <w:r>
              <w:rPr>
                <w:sz w:val="20"/>
              </w:rPr>
              <w:t>256MB data, 500K commands/month</w:t>
            </w:r>
          </w:p>
        </w:tc>
      </w:tr>
      <w:tr w14:paraId="7AA5D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496674E">
            <w:pPr>
              <w:spacing w:after="0" w:line="240" w:lineRule="auto"/>
            </w:pPr>
            <w:r>
              <w:rPr>
                <w:sz w:val="20"/>
              </w:rPr>
              <w:t>File storage</w:t>
            </w:r>
          </w:p>
        </w:tc>
        <w:tc>
          <w:tcPr>
            <w:tcW w:w="2448" w:type="dxa"/>
          </w:tcPr>
          <w:p w14:paraId="765139AF">
            <w:pPr>
              <w:spacing w:after="0" w:line="240" w:lineRule="auto"/>
            </w:pPr>
            <w:r>
              <w:rPr>
                <w:sz w:val="20"/>
              </w:rPr>
              <w:t>AWS S3</w:t>
            </w:r>
          </w:p>
        </w:tc>
        <w:tc>
          <w:tcPr>
            <w:tcW w:w="3312" w:type="dxa"/>
          </w:tcPr>
          <w:p w14:paraId="4326BE9F">
            <w:pPr>
              <w:spacing w:after="0" w:line="240" w:lineRule="auto"/>
            </w:pPr>
            <w:r>
              <w:rPr>
                <w:sz w:val="20"/>
              </w:rPr>
              <w:t>Cloudflare R2 free tier</w:t>
            </w:r>
          </w:p>
        </w:tc>
        <w:tc>
          <w:tcPr>
            <w:tcW w:w="2592" w:type="dxa"/>
          </w:tcPr>
          <w:p w14:paraId="3CBDD399">
            <w:pPr>
              <w:spacing w:after="0" w:line="240" w:lineRule="auto"/>
            </w:pPr>
            <w:r>
              <w:rPr>
                <w:sz w:val="20"/>
              </w:rPr>
              <w:t>10GB storage, zero egress fees</w:t>
            </w:r>
          </w:p>
        </w:tc>
      </w:tr>
      <w:tr w14:paraId="3898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5C1BA07">
            <w:pPr>
              <w:spacing w:after="0" w:line="240" w:lineRule="auto"/>
            </w:pPr>
            <w:r>
              <w:rPr>
                <w:sz w:val="20"/>
              </w:rPr>
              <w:t>OCR (scanned documents)</w:t>
            </w:r>
          </w:p>
        </w:tc>
        <w:tc>
          <w:tcPr>
            <w:tcW w:w="2448" w:type="dxa"/>
          </w:tcPr>
          <w:p w14:paraId="328579FD">
            <w:pPr>
              <w:spacing w:after="0" w:line="240" w:lineRule="auto"/>
            </w:pPr>
            <w:r>
              <w:rPr>
                <w:sz w:val="20"/>
              </w:rPr>
              <w:t>Google Vision / AWS Textract</w:t>
            </w:r>
          </w:p>
        </w:tc>
        <w:tc>
          <w:tcPr>
            <w:tcW w:w="3312" w:type="dxa"/>
          </w:tcPr>
          <w:p w14:paraId="0B50EE39">
            <w:pPr>
              <w:spacing w:after="0" w:line="240" w:lineRule="auto"/>
            </w:pPr>
            <w:r>
              <w:rPr>
                <w:sz w:val="20"/>
              </w:rPr>
              <w:t>Tesseract OCR (self-hosted)</w:t>
            </w:r>
          </w:p>
        </w:tc>
        <w:tc>
          <w:tcPr>
            <w:tcW w:w="2592" w:type="dxa"/>
          </w:tcPr>
          <w:p w14:paraId="609EA36F">
            <w:pPr>
              <w:spacing w:after="0" w:line="240" w:lineRule="auto"/>
            </w:pPr>
            <w:r>
              <w:rPr>
                <w:sz w:val="20"/>
              </w:rPr>
              <w:t>No hard limit; self-managed</w:t>
            </w:r>
          </w:p>
        </w:tc>
      </w:tr>
      <w:tr w14:paraId="0D7F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64027D3">
            <w:pPr>
              <w:spacing w:after="0" w:line="240" w:lineRule="auto"/>
            </w:pPr>
            <w:r>
              <w:rPr>
                <w:sz w:val="20"/>
              </w:rPr>
              <w:t>Observability / tracing</w:t>
            </w:r>
          </w:p>
        </w:tc>
        <w:tc>
          <w:tcPr>
            <w:tcW w:w="2448" w:type="dxa"/>
          </w:tcPr>
          <w:p w14:paraId="0D800D56">
            <w:pPr>
              <w:spacing w:after="0" w:line="240" w:lineRule="auto"/>
            </w:pPr>
            <w:r>
              <w:rPr>
                <w:sz w:val="20"/>
              </w:rPr>
              <w:t>LangSmith paid tier</w:t>
            </w:r>
          </w:p>
        </w:tc>
        <w:tc>
          <w:tcPr>
            <w:tcW w:w="3312" w:type="dxa"/>
          </w:tcPr>
          <w:p w14:paraId="5391332F">
            <w:pPr>
              <w:spacing w:after="0" w:line="240" w:lineRule="auto"/>
            </w:pPr>
            <w:r>
              <w:rPr>
                <w:sz w:val="20"/>
              </w:rPr>
              <w:t>LangSmith free tier or self-hosted Langfuse</w:t>
            </w:r>
          </w:p>
        </w:tc>
        <w:tc>
          <w:tcPr>
            <w:tcW w:w="2592" w:type="dxa"/>
          </w:tcPr>
          <w:p w14:paraId="69E7DEF4">
            <w:pPr>
              <w:spacing w:after="0" w:line="240" w:lineRule="auto"/>
            </w:pPr>
            <w:r>
              <w:rPr>
                <w:sz w:val="20"/>
              </w:rPr>
              <w:t>~5K traces/month (LangSmith free)</w:t>
            </w:r>
          </w:p>
        </w:tc>
      </w:tr>
      <w:tr w14:paraId="381C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4D56D0">
            <w:pPr>
              <w:spacing w:after="0" w:line="240" w:lineRule="auto"/>
            </w:pPr>
            <w:r>
              <w:rPr>
                <w:sz w:val="20"/>
              </w:rPr>
              <w:t>CI/CD</w:t>
            </w:r>
          </w:p>
        </w:tc>
        <w:tc>
          <w:tcPr>
            <w:tcW w:w="2448" w:type="dxa"/>
          </w:tcPr>
          <w:p w14:paraId="76200E3D">
            <w:pPr>
              <w:spacing w:after="0" w:line="240" w:lineRule="auto"/>
            </w:pPr>
            <w:r>
              <w:rPr>
                <w:sz w:val="20"/>
              </w:rPr>
              <w:t>Paid CI minutes</w:t>
            </w:r>
          </w:p>
        </w:tc>
        <w:tc>
          <w:tcPr>
            <w:tcW w:w="3312" w:type="dxa"/>
          </w:tcPr>
          <w:p w14:paraId="3EA112BC">
            <w:pPr>
              <w:spacing w:after="0" w:line="240" w:lineRule="auto"/>
            </w:pPr>
            <w:r>
              <w:rPr>
                <w:sz w:val="20"/>
              </w:rPr>
              <w:t>GitHub Actions</w:t>
            </w:r>
          </w:p>
        </w:tc>
        <w:tc>
          <w:tcPr>
            <w:tcW w:w="2592" w:type="dxa"/>
          </w:tcPr>
          <w:p w14:paraId="33758869">
            <w:pPr>
              <w:spacing w:after="0" w:line="240" w:lineRule="auto"/>
            </w:pPr>
            <w:r>
              <w:rPr>
                <w:sz w:val="20"/>
              </w:rPr>
              <w:t>2,000 min/month free (private repos)</w:t>
            </w:r>
          </w:p>
        </w:tc>
      </w:tr>
    </w:tbl>
    <w:p w14:paraId="332A1BBA"/>
    <w:p w14:paraId="65A76091">
      <w:pPr>
        <w:pStyle w:val="2"/>
      </w:pPr>
      <w:r>
        <w:rPr>
          <w:color w:val="1F4E79"/>
        </w:rPr>
        <w:t>3. Detail by Category</w:t>
      </w:r>
    </w:p>
    <w:p w14:paraId="3D0B0297">
      <w:pPr>
        <w:pStyle w:val="3"/>
      </w:pPr>
      <w:r>
        <w:rPr>
          <w:color w:val="1F4E79"/>
        </w:rPr>
        <w:t>3.1 LLM Inference (Model Gateway)</w:t>
      </w:r>
    </w:p>
    <w:p w14:paraId="3F23001D">
      <w:r>
        <w:t>OpenRouter itself has no subscription fee cost only comes from per-token usage of paid models. Models with a ":free" suffix (e.g. deepseek/deepseek-chat-v3-0324:free, meta-llama/llama-3.3-70b-instruct:free, openai/gpt-oss-120b:free) cost nothing at all and require no credit card.</w:t>
      </w:r>
    </w:p>
    <w:p w14:paraId="21B43C95">
      <w:pPr>
        <w:pStyle w:val="23"/>
      </w:pPr>
      <w:r>
        <w:t>Trade-off: free models are rate-limited (~20 requests/minute, 200/day) and generally lower quality than Claude Sonnet 4, especially for nuanced Arabic generation.</w:t>
      </w:r>
    </w:p>
    <w:p w14:paraId="62AE0826">
      <w:pPr>
        <w:pStyle w:val="23"/>
      </w:pPr>
      <w:r>
        <w:t>Recommended path: use free models through development and demos; budget for Claude Sonnet 4 (or another paid model) once quality needs to be production-grade, particularly for Arabic resumes.</w:t>
      </w:r>
    </w:p>
    <w:p w14:paraId="72C61473">
      <w:pPr>
        <w:pStyle w:val="3"/>
      </w:pPr>
      <w:r>
        <w:rPr>
          <w:color w:val="1F4E79"/>
        </w:rPr>
        <w:t>3.2 Compute / Hosting</w:t>
      </w:r>
    </w:p>
    <w:p w14:paraId="37E0FE7A">
      <w:pPr>
        <w:pStyle w:val="23"/>
      </w:pPr>
      <w:r>
        <w:t>Render (free): git-push deployment, 750 free instance-hours/month, free managed HTTPS. Spins down after 15 minutes of inactivity (~1 minute cold start on the next request). No persistent disk on the free tier, so external database/storage is required (see below).</w:t>
      </w:r>
    </w:p>
    <w:p w14:paraId="79C4865F">
      <w:pPr>
        <w:pStyle w:val="23"/>
      </w:pPr>
      <w:r>
        <w:t>Oracle Cloud Always Free: 2 OCPU + 12GB RAM VM, persistent block storage, no spin-down, free forever. Requires manual server setup (SSH, Docker) rather than one-click deploy.</w:t>
      </w:r>
    </w:p>
    <w:p w14:paraId="30DB48F8">
      <w:pPr>
        <w:pStyle w:val="23"/>
      </w:pPr>
      <w:r>
        <w:t>Google Cloud Run: 2 million requests/month free, scales to zero.</w:t>
      </w:r>
    </w:p>
    <w:p w14:paraId="0C3F3985">
      <w:pPr>
        <w:pStyle w:val="23"/>
      </w:pPr>
      <w:r>
        <w:t>Fly.io: no longer offers a free tier as of 2024 — new signups only get a 2-hour/7-day trial, then require a paid card. Not recommended.</w:t>
      </w:r>
    </w:p>
    <w:p w14:paraId="54BF9D67">
      <w:pPr>
        <w:pStyle w:val="3"/>
      </w:pPr>
      <w:r>
        <w:rPr>
          <w:color w:val="1F4E79"/>
        </w:rPr>
        <w:t>3.3 Database (Workflow State / Checkpointing)</w:t>
      </w:r>
    </w:p>
    <w:p w14:paraId="6E675A08">
      <w:pPr>
        <w:pStyle w:val="23"/>
      </w:pPr>
      <w:r>
        <w:t>Neon (recommended): permanent free Postgres 0.5GB storage, 100 compute-hours/month, scales to zero, no credit card, no expiration date.</w:t>
      </w:r>
    </w:p>
    <w:p w14:paraId="2C205B9D">
      <w:pPr>
        <w:pStyle w:val="23"/>
      </w:pPr>
      <w:r>
        <w:t>Render Postgres (free): 1GB storage, but expires 30 days after creation with a 14-day grace period — not suitable as a long-term free option.</w:t>
      </w:r>
    </w:p>
    <w:p w14:paraId="3C788A20">
      <w:pPr>
        <w:pStyle w:val="3"/>
      </w:pPr>
      <w:r>
        <w:rPr>
          <w:color w:val="1F4E79"/>
        </w:rPr>
        <w:t>3.4 File Storage (Uploaded Documents)</w:t>
      </w:r>
    </w:p>
    <w:p w14:paraId="4F02FD8A">
      <w:pPr>
        <w:pStyle w:val="23"/>
      </w:pPr>
      <w:r>
        <w:t>Cloudflare R2 (recommended): 10GB free storage, zero egress fees, S3-compatible API works as a drop-in replacement for AWS S3.</w:t>
      </w:r>
    </w:p>
    <w:p w14:paraId="78D39FE5">
      <w:pPr>
        <w:pStyle w:val="23"/>
      </w:pPr>
      <w:r>
        <w:t>Local disk storage: zero cost if hosting on a VM with persistent storage (e.g. Oracle Always Free); not viable on Render's free tier since it has no persistent disk.</w:t>
      </w:r>
    </w:p>
    <w:p w14:paraId="26B7A640">
      <w:pPr>
        <w:pStyle w:val="3"/>
      </w:pPr>
      <w:r>
        <w:rPr>
          <w:color w:val="1F4E79"/>
        </w:rPr>
        <w:t>3.5 OCR (Scanned Documents / Images)</w:t>
      </w:r>
    </w:p>
    <w:p w14:paraId="7D515DC6">
      <w:r>
        <w:t>Tesseract OCR is free, open-source, and self-hosted already the default in the engine. No per-page cost or quota. Google Cloud Vision offers a free tier of 1,000 units/month if cloud OCR is preferred over self-hosting.</w:t>
      </w:r>
    </w:p>
    <w:p w14:paraId="64DF46AD">
      <w:pPr>
        <w:pStyle w:val="3"/>
      </w:pPr>
      <w:r>
        <w:rPr>
          <w:color w:val="1F4E79"/>
        </w:rPr>
        <w:t>3.6 Observability</w:t>
      </w:r>
    </w:p>
    <w:p w14:paraId="77C89F63">
      <w:r>
        <w:t>LangSmith is optional; its free Developer tier covers roughly 5,000 traces/month. Langfuse is a free, open-source, self-hosted alternative with no volume limit if that free tier is outgrown.</w:t>
      </w:r>
    </w:p>
    <w:p w14:paraId="35FF5DCD">
      <w:pPr>
        <w:pStyle w:val="2"/>
      </w:pPr>
      <w:r>
        <w:rPr>
          <w:color w:val="1F4E79"/>
        </w:rPr>
        <w:t>4. Recommended Zero-Cost Stack for Development &amp; Demo</w:t>
      </w:r>
    </w:p>
    <w:p w14:paraId="1572C59B">
      <w:r>
        <w:t>The following combination allows the entire engine to run at $0/month, with no credit card required for any component: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760"/>
      </w:tblGrid>
      <w:tr w14:paraId="0F0A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1F4E79"/>
          </w:tcPr>
          <w:p w14:paraId="7771A922">
            <w:pPr>
              <w:spacing w:after="0" w:line="240" w:lineRule="auto"/>
            </w:pPr>
            <w:r>
              <w:rPr>
                <w:b/>
                <w:color w:val="FFFFFF"/>
                <w:sz w:val="20"/>
              </w:rPr>
              <w:t>Layer</w:t>
            </w:r>
          </w:p>
        </w:tc>
        <w:tc>
          <w:tcPr>
            <w:tcW w:w="5760" w:type="dxa"/>
            <w:shd w:val="clear" w:color="auto" w:fill="1F4E79"/>
          </w:tcPr>
          <w:p w14:paraId="758FE1D2">
            <w:pPr>
              <w:spacing w:after="0" w:line="240" w:lineRule="auto"/>
            </w:pPr>
            <w:r>
              <w:rPr>
                <w:b/>
                <w:color w:val="FFFFFF"/>
                <w:sz w:val="20"/>
              </w:rPr>
              <w:t>Choice</w:t>
            </w:r>
          </w:p>
        </w:tc>
      </w:tr>
      <w:tr w14:paraId="0A33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EB4B95">
            <w:pPr>
              <w:spacing w:after="0" w:line="240" w:lineRule="auto"/>
            </w:pPr>
            <w:r>
              <w:rPr>
                <w:sz w:val="20"/>
              </w:rPr>
              <w:t>Compute</w:t>
            </w:r>
          </w:p>
        </w:tc>
        <w:tc>
          <w:tcPr>
            <w:tcW w:w="5760" w:type="dxa"/>
          </w:tcPr>
          <w:p w14:paraId="09550521">
            <w:pPr>
              <w:spacing w:after="0" w:line="240" w:lineRule="auto"/>
            </w:pPr>
            <w:r>
              <w:rPr>
                <w:sz w:val="20"/>
              </w:rPr>
              <w:t>Render (free web service)</w:t>
            </w:r>
          </w:p>
        </w:tc>
      </w:tr>
      <w:tr w14:paraId="30E3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8961B9">
            <w:pPr>
              <w:spacing w:after="0" w:line="240" w:lineRule="auto"/>
            </w:pPr>
            <w:r>
              <w:rPr>
                <w:sz w:val="20"/>
              </w:rPr>
              <w:t>Database</w:t>
            </w:r>
          </w:p>
        </w:tc>
        <w:tc>
          <w:tcPr>
            <w:tcW w:w="5760" w:type="dxa"/>
          </w:tcPr>
          <w:p w14:paraId="3498C5E0">
            <w:pPr>
              <w:spacing w:after="0" w:line="240" w:lineRule="auto"/>
            </w:pPr>
            <w:r>
              <w:rPr>
                <w:sz w:val="20"/>
              </w:rPr>
              <w:t>Neon (free Postgres)</w:t>
            </w:r>
          </w:p>
        </w:tc>
      </w:tr>
      <w:tr w14:paraId="460B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554328">
            <w:pPr>
              <w:spacing w:after="0" w:line="240" w:lineRule="auto"/>
            </w:pPr>
            <w:r>
              <w:rPr>
                <w:sz w:val="20"/>
              </w:rPr>
              <w:t>File storage</w:t>
            </w:r>
          </w:p>
        </w:tc>
        <w:tc>
          <w:tcPr>
            <w:tcW w:w="5760" w:type="dxa"/>
          </w:tcPr>
          <w:p w14:paraId="0CC93237">
            <w:pPr>
              <w:spacing w:after="0" w:line="240" w:lineRule="auto"/>
            </w:pPr>
            <w:r>
              <w:rPr>
                <w:sz w:val="20"/>
              </w:rPr>
              <w:t>Cloudflare R2 (free tier)</w:t>
            </w:r>
          </w:p>
        </w:tc>
      </w:tr>
      <w:tr w14:paraId="2349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85958C9">
            <w:pPr>
              <w:spacing w:after="0" w:line="240" w:lineRule="auto"/>
            </w:pPr>
            <w:r>
              <w:rPr>
                <w:sz w:val="20"/>
              </w:rPr>
              <w:t>LLM inference</w:t>
            </w:r>
          </w:p>
        </w:tc>
        <w:tc>
          <w:tcPr>
            <w:tcW w:w="5760" w:type="dxa"/>
          </w:tcPr>
          <w:p w14:paraId="08DAB05F">
            <w:pPr>
              <w:spacing w:after="0" w:line="240" w:lineRule="auto"/>
            </w:pPr>
            <w:r>
              <w:rPr>
                <w:sz w:val="20"/>
              </w:rPr>
              <w:t>OpenRouter free models</w:t>
            </w:r>
          </w:p>
        </w:tc>
      </w:tr>
      <w:tr w14:paraId="4DDCD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250B44">
            <w:pPr>
              <w:spacing w:after="0" w:line="240" w:lineRule="auto"/>
            </w:pPr>
            <w:r>
              <w:rPr>
                <w:sz w:val="20"/>
              </w:rPr>
              <w:t>OCR</w:t>
            </w:r>
          </w:p>
        </w:tc>
        <w:tc>
          <w:tcPr>
            <w:tcW w:w="5760" w:type="dxa"/>
          </w:tcPr>
          <w:p w14:paraId="0AF1D3AF">
            <w:pPr>
              <w:spacing w:after="0" w:line="240" w:lineRule="auto"/>
            </w:pPr>
            <w:r>
              <w:rPr>
                <w:sz w:val="20"/>
              </w:rPr>
              <w:t>Tesseract (self-hosted)</w:t>
            </w:r>
          </w:p>
        </w:tc>
      </w:tr>
      <w:tr w14:paraId="6E27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73D4BF">
            <w:pPr>
              <w:spacing w:after="0" w:line="240" w:lineRule="auto"/>
            </w:pPr>
            <w:r>
              <w:rPr>
                <w:sz w:val="20"/>
              </w:rPr>
              <w:t>CI/CD</w:t>
            </w:r>
          </w:p>
        </w:tc>
        <w:tc>
          <w:tcPr>
            <w:tcW w:w="5760" w:type="dxa"/>
          </w:tcPr>
          <w:p w14:paraId="76ADE3C0">
            <w:pPr>
              <w:spacing w:after="0" w:line="240" w:lineRule="auto"/>
            </w:pPr>
            <w:r>
              <w:rPr>
                <w:sz w:val="20"/>
              </w:rPr>
              <w:t>GitHub Actions (free tier)</w:t>
            </w:r>
          </w:p>
        </w:tc>
      </w:tr>
    </w:tbl>
    <w:p w14:paraId="67FD7A45"/>
    <w:p w14:paraId="72533BAB">
      <w:r>
        <w:t>This stack is sufficient for development, internal testing, and stakeholder demos. It is not recommended for production traffic due to rate limits on free LLM models and cold-start delays on free compute.</w:t>
      </w:r>
    </w:p>
    <w:p w14:paraId="7FF04128">
      <w:pPr>
        <w:pStyle w:val="2"/>
      </w:pPr>
      <w:r>
        <w:rPr>
          <w:color w:val="1F4E79"/>
        </w:rPr>
        <w:t>5. Next Steps / Decisions Needed</w:t>
      </w:r>
    </w:p>
    <w:p w14:paraId="3D30F46E">
      <w:pPr>
        <w:pStyle w:val="23"/>
      </w:pPr>
      <w:r>
        <w:t>Approve using the free-tier stack above through the development and demo phase of Milestone 1.</w:t>
      </w:r>
    </w:p>
    <w:p w14:paraId="66399B2E">
      <w:pPr>
        <w:pStyle w:val="23"/>
      </w:pPr>
      <w:r>
        <w:t>Decide the point at which to upgrade to paid LLM models (Claude Sonnet 4) for production-quality output, especially Arabic.</w:t>
      </w:r>
    </w:p>
    <w:p w14:paraId="30CF55A7">
      <w:pPr>
        <w:pStyle w:val="23"/>
      </w:pPr>
      <w:r>
        <w:t>Decide the point at which to upgrade compute/hosting from free tiers to a paid, production-grade environment.</w:t>
      </w:r>
    </w:p>
    <w:p w14:paraId="7B9B533F"/>
    <w:p w14:paraId="69FE919B">
      <w:r>
        <w:rPr>
          <w:i/>
        </w:rPr>
        <w:t>Note: free-tier limits and availability are accurate as of July 2026 and are subject to change by each provider.</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4440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Tekkerz Designer</cp:lastModifiedBy>
  <dcterms:modified xsi:type="dcterms:W3CDTF">2026-07-09T01:24:17Z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F801BB6C7A7749449152387E0B2FD51B_12</vt:lpwstr>
  </property>
</Properties>
</file>