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B3A9" w14:textId="1706689D" w:rsidR="006E5B52" w:rsidRPr="006E5B52" w:rsidRDefault="006E5B52" w:rsidP="006E5B52">
      <w:pPr>
        <w:pStyle w:val="Heading1"/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5B5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 the Capital Asset Pricing Model (CAPM) on Selected Indian Stocks</w:t>
      </w:r>
    </w:p>
    <w:p w14:paraId="21E61986" w14:textId="77777777" w:rsidR="006E5B52" w:rsidRPr="006E5B52" w:rsidRDefault="006E5B52" w:rsidP="006E5B52">
      <w:pPr>
        <w:rPr>
          <w:rFonts w:ascii="Times New Roman" w:hAnsi="Times New Roman" w:cs="Times New Roman"/>
        </w:rPr>
      </w:pPr>
    </w:p>
    <w:p w14:paraId="5F921800" w14:textId="77777777" w:rsidR="006E5B52" w:rsidRDefault="006E5B52" w:rsidP="006E5B52"/>
    <w:p w14:paraId="7837B6C6" w14:textId="77777777" w:rsidR="006E5B52" w:rsidRPr="006E5B52" w:rsidRDefault="006E5B52" w:rsidP="006E5B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5B5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E5B52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24B71410" w14:textId="403B642B" w:rsidR="006E5B52" w:rsidRDefault="006E5B52" w:rsidP="006E5B52">
      <w:pPr>
        <w:rPr>
          <w:rFonts w:ascii="Times New Roman" w:hAnsi="Times New Roman" w:cs="Times New Roman"/>
        </w:rPr>
      </w:pPr>
      <w:r w:rsidRPr="006E5B52">
        <w:rPr>
          <w:rFonts w:ascii="Times New Roman" w:hAnsi="Times New Roman" w:cs="Times New Roman"/>
        </w:rPr>
        <w:t>This study aims to evaluate the applicability of the CAPM model in predicting expected returns of selected NIFTY 50 stocks.</w:t>
      </w:r>
    </w:p>
    <w:p w14:paraId="31D7E21E" w14:textId="77777777" w:rsidR="006E5B52" w:rsidRDefault="006E5B52" w:rsidP="006E5B52">
      <w:pPr>
        <w:rPr>
          <w:rFonts w:ascii="Times New Roman" w:hAnsi="Times New Roman" w:cs="Times New Roman"/>
        </w:rPr>
      </w:pPr>
    </w:p>
    <w:p w14:paraId="47202F54" w14:textId="77777777" w:rsidR="006E5B52" w:rsidRPr="006E5B52" w:rsidRDefault="006E5B52" w:rsidP="006E5B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5B52">
        <w:rPr>
          <w:rFonts w:ascii="Times New Roman" w:hAnsi="Times New Roman" w:cs="Times New Roman"/>
          <w:b/>
          <w:bCs/>
          <w:sz w:val="32"/>
          <w:szCs w:val="32"/>
        </w:rPr>
        <w:t>2. Methodology</w:t>
      </w:r>
    </w:p>
    <w:p w14:paraId="38C48D3F" w14:textId="77777777" w:rsidR="006E5B52" w:rsidRPr="006E5B52" w:rsidRDefault="006E5B52" w:rsidP="006E5B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5B52">
        <w:rPr>
          <w:rFonts w:ascii="Times New Roman" w:hAnsi="Times New Roman" w:cs="Times New Roman"/>
        </w:rPr>
        <w:t>Selected five NIFTY 50 stocks</w:t>
      </w:r>
    </w:p>
    <w:p w14:paraId="676B7AA8" w14:textId="77777777" w:rsidR="006E5B52" w:rsidRPr="006E5B52" w:rsidRDefault="006E5B52" w:rsidP="006E5B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5B52">
        <w:rPr>
          <w:rFonts w:ascii="Times New Roman" w:hAnsi="Times New Roman" w:cs="Times New Roman"/>
        </w:rPr>
        <w:t>Collected 1-year monthly historical data</w:t>
      </w:r>
    </w:p>
    <w:p w14:paraId="214D77E5" w14:textId="77777777" w:rsidR="006E5B52" w:rsidRPr="006E5B52" w:rsidRDefault="006E5B52" w:rsidP="006E5B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5B52">
        <w:rPr>
          <w:rFonts w:ascii="Times New Roman" w:hAnsi="Times New Roman" w:cs="Times New Roman"/>
        </w:rPr>
        <w:t>Calculated monthly returns</w:t>
      </w:r>
    </w:p>
    <w:p w14:paraId="33FD3F25" w14:textId="77777777" w:rsidR="006E5B52" w:rsidRPr="006E5B52" w:rsidRDefault="006E5B52" w:rsidP="006E5B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5B52">
        <w:rPr>
          <w:rFonts w:ascii="Times New Roman" w:hAnsi="Times New Roman" w:cs="Times New Roman"/>
        </w:rPr>
        <w:t>Computed beta using covariance and variance</w:t>
      </w:r>
    </w:p>
    <w:p w14:paraId="156C35B3" w14:textId="77777777" w:rsidR="006E5B52" w:rsidRPr="006E5B52" w:rsidRDefault="006E5B52" w:rsidP="006E5B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5B52">
        <w:rPr>
          <w:rFonts w:ascii="Times New Roman" w:hAnsi="Times New Roman" w:cs="Times New Roman"/>
        </w:rPr>
        <w:t>Applied CAPM formula</w:t>
      </w:r>
    </w:p>
    <w:p w14:paraId="7354E3E6" w14:textId="77777777" w:rsidR="006E5B52" w:rsidRPr="006E5B52" w:rsidRDefault="006E5B52" w:rsidP="006E5B52">
      <w:pPr>
        <w:numPr>
          <w:ilvl w:val="0"/>
          <w:numId w:val="1"/>
        </w:numPr>
      </w:pPr>
      <w:r w:rsidRPr="006E5B52">
        <w:rPr>
          <w:rFonts w:ascii="Times New Roman" w:hAnsi="Times New Roman" w:cs="Times New Roman"/>
        </w:rPr>
        <w:t>Compared expected vs actual returns</w:t>
      </w:r>
    </w:p>
    <w:p w14:paraId="7101B953" w14:textId="77777777" w:rsidR="006E5B52" w:rsidRDefault="006E5B52" w:rsidP="006E5B52">
      <w:pPr>
        <w:rPr>
          <w:rFonts w:ascii="Times New Roman" w:hAnsi="Times New Roman" w:cs="Times New Roman"/>
        </w:rPr>
      </w:pPr>
    </w:p>
    <w:p w14:paraId="11FB091C" w14:textId="77777777" w:rsidR="00CF6C0B" w:rsidRDefault="00CF6C0B" w:rsidP="006E5B5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7E1120" w14:textId="018CCF58" w:rsidR="006E5B52" w:rsidRPr="00ED3B3D" w:rsidRDefault="006E5B52" w:rsidP="006E5B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5B52">
        <w:rPr>
          <w:rFonts w:ascii="Times New Roman" w:hAnsi="Times New Roman" w:cs="Times New Roman"/>
          <w:b/>
          <w:bCs/>
          <w:sz w:val="32"/>
          <w:szCs w:val="32"/>
        </w:rPr>
        <w:t>3. Results</w:t>
      </w:r>
    </w:p>
    <w:p w14:paraId="146BC97A" w14:textId="77777777" w:rsidR="006E5B52" w:rsidRDefault="006E5B52" w:rsidP="006E5B52"/>
    <w:tbl>
      <w:tblPr>
        <w:tblW w:w="7362" w:type="dxa"/>
        <w:tblLook w:val="04A0" w:firstRow="1" w:lastRow="0" w:firstColumn="1" w:lastColumn="0" w:noHBand="0" w:noVBand="1"/>
      </w:tblPr>
      <w:tblGrid>
        <w:gridCol w:w="1453"/>
        <w:gridCol w:w="1391"/>
        <w:gridCol w:w="2431"/>
        <w:gridCol w:w="2087"/>
      </w:tblGrid>
      <w:tr w:rsidR="00ED3B3D" w:rsidRPr="00ED3B3D" w14:paraId="3F9A3491" w14:textId="77777777" w:rsidTr="00ED3B3D">
        <w:trPr>
          <w:trHeight w:val="428"/>
        </w:trPr>
        <w:tc>
          <w:tcPr>
            <w:tcW w:w="1453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00000"/>
            <w:noWrap/>
            <w:vAlign w:val="bottom"/>
            <w:hideMark/>
          </w:tcPr>
          <w:p w14:paraId="7F1471FC" w14:textId="77777777" w:rsidR="00ED3B3D" w:rsidRPr="00ED3B3D" w:rsidRDefault="00ED3B3D" w:rsidP="00ED3B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Stock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00000"/>
            <w:noWrap/>
            <w:vAlign w:val="bottom"/>
            <w:hideMark/>
          </w:tcPr>
          <w:p w14:paraId="4E65C0F0" w14:textId="77777777" w:rsidR="00ED3B3D" w:rsidRPr="00ED3B3D" w:rsidRDefault="00ED3B3D" w:rsidP="00ED3B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Beta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00000"/>
            <w:noWrap/>
            <w:vAlign w:val="bottom"/>
            <w:hideMark/>
          </w:tcPr>
          <w:p w14:paraId="30A7A2B6" w14:textId="77777777" w:rsidR="00ED3B3D" w:rsidRPr="00ED3B3D" w:rsidRDefault="00ED3B3D" w:rsidP="00ED3B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Expected Return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00000"/>
            <w:noWrap/>
            <w:vAlign w:val="bottom"/>
            <w:hideMark/>
          </w:tcPr>
          <w:p w14:paraId="2A19ECB2" w14:textId="77777777" w:rsidR="00ED3B3D" w:rsidRPr="00ED3B3D" w:rsidRDefault="00ED3B3D" w:rsidP="00ED3B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Actual Return</w:t>
            </w:r>
          </w:p>
        </w:tc>
      </w:tr>
      <w:tr w:rsidR="00ED3B3D" w:rsidRPr="00ED3B3D" w14:paraId="6263A5D5" w14:textId="77777777" w:rsidTr="00ED3B3D">
        <w:trPr>
          <w:trHeight w:val="428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19DF7898" w14:textId="77777777" w:rsidR="00ED3B3D" w:rsidRPr="00ED3B3D" w:rsidRDefault="00ED3B3D" w:rsidP="00ED3B3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Reliance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2D22117F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2.461645</w:t>
            </w:r>
          </w:p>
        </w:tc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0F060A69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0.158313953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75CA0661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0.123023452</w:t>
            </w:r>
          </w:p>
        </w:tc>
      </w:tr>
      <w:tr w:rsidR="00ED3B3D" w:rsidRPr="00ED3B3D" w14:paraId="1852599B" w14:textId="77777777" w:rsidTr="00ED3B3D">
        <w:trPr>
          <w:trHeight w:val="428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noWrap/>
            <w:vAlign w:val="bottom"/>
            <w:hideMark/>
          </w:tcPr>
          <w:p w14:paraId="23DDBA1E" w14:textId="77777777" w:rsidR="00ED3B3D" w:rsidRPr="00ED3B3D" w:rsidRDefault="00ED3B3D" w:rsidP="00ED3B3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TCS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noWrap/>
            <w:vAlign w:val="bottom"/>
            <w:hideMark/>
          </w:tcPr>
          <w:p w14:paraId="0C39CD4B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0.728458</w:t>
            </w:r>
          </w:p>
        </w:tc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noWrap/>
            <w:vAlign w:val="bottom"/>
            <w:hideMark/>
          </w:tcPr>
          <w:p w14:paraId="20857929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0.089093375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noWrap/>
            <w:vAlign w:val="bottom"/>
            <w:hideMark/>
          </w:tcPr>
          <w:p w14:paraId="3B85D53D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0.058734973</w:t>
            </w:r>
          </w:p>
        </w:tc>
      </w:tr>
      <w:tr w:rsidR="00ED3B3D" w:rsidRPr="00ED3B3D" w14:paraId="149F16BE" w14:textId="77777777" w:rsidTr="00ED3B3D">
        <w:trPr>
          <w:trHeight w:val="428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2A445DFC" w14:textId="77777777" w:rsidR="00ED3B3D" w:rsidRPr="00ED3B3D" w:rsidRDefault="00ED3B3D" w:rsidP="00ED3B3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HDFC Bank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1BD65BC0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1.125615</w:t>
            </w:r>
          </w:p>
        </w:tc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098A8801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0.10495518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22904B22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0.078907936</w:t>
            </w:r>
          </w:p>
        </w:tc>
      </w:tr>
      <w:tr w:rsidR="00ED3B3D" w:rsidRPr="00ED3B3D" w14:paraId="68283964" w14:textId="77777777" w:rsidTr="00ED3B3D">
        <w:trPr>
          <w:trHeight w:val="428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noWrap/>
            <w:vAlign w:val="bottom"/>
            <w:hideMark/>
          </w:tcPr>
          <w:p w14:paraId="36384420" w14:textId="77777777" w:rsidR="00ED3B3D" w:rsidRPr="00ED3B3D" w:rsidRDefault="00ED3B3D" w:rsidP="00ED3B3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Infosys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noWrap/>
            <w:vAlign w:val="bottom"/>
            <w:hideMark/>
          </w:tcPr>
          <w:p w14:paraId="279A55F2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0.370303</w:t>
            </w:r>
          </w:p>
        </w:tc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noWrap/>
            <w:vAlign w:val="bottom"/>
            <w:hideMark/>
          </w:tcPr>
          <w:p w14:paraId="66DFE1FB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0.074789271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70AD47" w:fill="70AD47"/>
            <w:noWrap/>
            <w:vAlign w:val="bottom"/>
            <w:hideMark/>
          </w:tcPr>
          <w:p w14:paraId="35ED3572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0.341402727</w:t>
            </w:r>
          </w:p>
        </w:tc>
      </w:tr>
      <w:tr w:rsidR="00ED3B3D" w:rsidRPr="00ED3B3D" w14:paraId="1BEA3FC5" w14:textId="77777777" w:rsidTr="00ED3B3D">
        <w:trPr>
          <w:trHeight w:val="428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6A2EAF81" w14:textId="77777777" w:rsidR="00ED3B3D" w:rsidRPr="00ED3B3D" w:rsidRDefault="00ED3B3D" w:rsidP="00ED3B3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ICICI Bank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1C0FE393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0.366897</w:t>
            </w:r>
          </w:p>
        </w:tc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289A2D9C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0.074653256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548235" w:fill="548235"/>
            <w:noWrap/>
            <w:vAlign w:val="bottom"/>
            <w:hideMark/>
          </w:tcPr>
          <w:p w14:paraId="3DD47DC8" w14:textId="77777777" w:rsidR="00ED3B3D" w:rsidRPr="00ED3B3D" w:rsidRDefault="00ED3B3D" w:rsidP="00ED3B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B3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-0.007606932</w:t>
            </w:r>
          </w:p>
        </w:tc>
      </w:tr>
    </w:tbl>
    <w:p w14:paraId="23FEC967" w14:textId="77777777" w:rsidR="006E5B52" w:rsidRDefault="006E5B52" w:rsidP="006E5B52"/>
    <w:p w14:paraId="6014852F" w14:textId="77777777" w:rsidR="00CF6C0B" w:rsidRDefault="00CF6C0B" w:rsidP="006E5B52"/>
    <w:p w14:paraId="7C9C6952" w14:textId="77777777" w:rsidR="00CF6C0B" w:rsidRDefault="00CF6C0B" w:rsidP="00CF6C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978316" w14:textId="77777777" w:rsidR="00CF6C0B" w:rsidRDefault="00CF6C0B" w:rsidP="00CF6C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4F6BF" w14:textId="178168A0" w:rsidR="00CF6C0B" w:rsidRPr="00CF6C0B" w:rsidRDefault="00CF6C0B" w:rsidP="00CF6C0B">
      <w:pPr>
        <w:rPr>
          <w:rFonts w:ascii="Times New Roman" w:hAnsi="Times New Roman" w:cs="Times New Roman"/>
          <w:b/>
          <w:bCs/>
        </w:rPr>
      </w:pPr>
      <w:r w:rsidRPr="00CF6C0B">
        <w:rPr>
          <w:rFonts w:ascii="Times New Roman" w:hAnsi="Times New Roman" w:cs="Times New Roman"/>
          <w:b/>
          <w:bCs/>
          <w:sz w:val="28"/>
          <w:szCs w:val="28"/>
        </w:rPr>
        <w:t>Reliance</w:t>
      </w:r>
    </w:p>
    <w:p w14:paraId="631AE3D0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Reliance shows a high beta of 2.46, indicating strong sensitivity to market movements. The expected return (15.83%) is higher than the actual return (12.30%), suggesting the stock underperformed relative to CAPM predictions. This may indicate overestimation of systematic risk compensation during the period.</w:t>
      </w:r>
    </w:p>
    <w:p w14:paraId="19A28805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pict w14:anchorId="6EAA2F55">
          <v:rect id="_x0000_i1061" style="width:0;height:1.5pt" o:hralign="center" o:hrstd="t" o:hr="t" fillcolor="#a0a0a0" stroked="f"/>
        </w:pict>
      </w:r>
    </w:p>
    <w:p w14:paraId="0B48D90C" w14:textId="1952D0B0" w:rsidR="00CF6C0B" w:rsidRPr="00CF6C0B" w:rsidRDefault="00CF6C0B" w:rsidP="00CF6C0B">
      <w:pPr>
        <w:rPr>
          <w:rFonts w:ascii="Times New Roman" w:hAnsi="Times New Roman" w:cs="Times New Roman"/>
          <w:b/>
          <w:bCs/>
        </w:rPr>
      </w:pPr>
      <w:r w:rsidRPr="00CF6C0B">
        <w:rPr>
          <w:rFonts w:ascii="Times New Roman" w:hAnsi="Times New Roman" w:cs="Times New Roman"/>
          <w:b/>
          <w:bCs/>
          <w:sz w:val="28"/>
          <w:szCs w:val="28"/>
        </w:rPr>
        <w:t>TCS</w:t>
      </w:r>
    </w:p>
    <w:p w14:paraId="04BB61CD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TCS has a beta of 0.73, reflecting lower volatility compared to the market. The expected return (8.91%) is higher than the actual return (5.87%), indicating mild underperformance. This suggests that despite lower systematic risk, the stock did not generate returns proportional to CAPM expectations.</w:t>
      </w:r>
    </w:p>
    <w:p w14:paraId="23A3B10B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pict w14:anchorId="11E6B735">
          <v:rect id="_x0000_i1062" style="width:0;height:1.5pt" o:hralign="center" o:hrstd="t" o:hr="t" fillcolor="#a0a0a0" stroked="f"/>
        </w:pict>
      </w:r>
    </w:p>
    <w:p w14:paraId="59CBB5FB" w14:textId="71BB1A69" w:rsidR="00CF6C0B" w:rsidRPr="00CF6C0B" w:rsidRDefault="00CF6C0B" w:rsidP="00CF6C0B">
      <w:pPr>
        <w:rPr>
          <w:rFonts w:ascii="Times New Roman" w:hAnsi="Times New Roman" w:cs="Times New Roman"/>
          <w:b/>
          <w:bCs/>
        </w:rPr>
      </w:pPr>
      <w:r w:rsidRPr="00CF6C0B">
        <w:rPr>
          <w:rFonts w:ascii="Times New Roman" w:hAnsi="Times New Roman" w:cs="Times New Roman"/>
          <w:b/>
          <w:bCs/>
          <w:sz w:val="28"/>
          <w:szCs w:val="28"/>
        </w:rPr>
        <w:t>HDFC</w:t>
      </w:r>
      <w:r w:rsidRPr="00CF6C0B">
        <w:rPr>
          <w:rFonts w:ascii="Times New Roman" w:hAnsi="Times New Roman" w:cs="Times New Roman"/>
          <w:b/>
          <w:bCs/>
        </w:rPr>
        <w:t xml:space="preserve"> Bank</w:t>
      </w:r>
    </w:p>
    <w:p w14:paraId="771146DB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With a beta of 1.12, HDFC Bank exhibits slightly higher-than-market risk. The expected return (10.49%) exceeds the actual return (7.89%), indicating moderate underperformance. This suggests that market-based risk alone may not explain return behaviour.</w:t>
      </w:r>
    </w:p>
    <w:p w14:paraId="6CD8363E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pict w14:anchorId="5B0F324F">
          <v:rect id="_x0000_i1063" style="width:0;height:1.5pt" o:hralign="center" o:hrstd="t" o:hr="t" fillcolor="#a0a0a0" stroked="f"/>
        </w:pict>
      </w:r>
    </w:p>
    <w:p w14:paraId="3DA5DDF0" w14:textId="594C6C32" w:rsidR="00CF6C0B" w:rsidRPr="00CF6C0B" w:rsidRDefault="00CF6C0B" w:rsidP="00CF6C0B">
      <w:pPr>
        <w:rPr>
          <w:rFonts w:ascii="Times New Roman" w:hAnsi="Times New Roman" w:cs="Times New Roman"/>
          <w:b/>
          <w:bCs/>
        </w:rPr>
      </w:pPr>
      <w:r w:rsidRPr="00CF6C0B">
        <w:rPr>
          <w:rFonts w:ascii="Times New Roman" w:hAnsi="Times New Roman" w:cs="Times New Roman"/>
          <w:b/>
          <w:bCs/>
          <w:sz w:val="28"/>
          <w:szCs w:val="28"/>
        </w:rPr>
        <w:t>Infosys</w:t>
      </w:r>
    </w:p>
    <w:p w14:paraId="1F400BF1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Infosys has a low beta of 0.37, implying defensive characteristics. However, its actual return (34.14%) significantly exceeds the expected return (7.48%). This substantial positive deviation suggests the presence of firm-specific factors or sectoral momentum not captured by CAPM.</w:t>
      </w:r>
    </w:p>
    <w:p w14:paraId="7716E886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pict w14:anchorId="7109FA88">
          <v:rect id="_x0000_i1064" style="width:0;height:1.5pt" o:hralign="center" o:hrstd="t" o:hr="t" fillcolor="#a0a0a0" stroked="f"/>
        </w:pict>
      </w:r>
    </w:p>
    <w:p w14:paraId="44E363ED" w14:textId="30DE0559" w:rsidR="00CF6C0B" w:rsidRPr="00CF6C0B" w:rsidRDefault="00CF6C0B" w:rsidP="00CF6C0B">
      <w:pPr>
        <w:rPr>
          <w:rFonts w:ascii="Times New Roman" w:hAnsi="Times New Roman" w:cs="Times New Roman"/>
          <w:b/>
          <w:bCs/>
        </w:rPr>
      </w:pPr>
      <w:r w:rsidRPr="00CF6C0B">
        <w:rPr>
          <w:rFonts w:ascii="Times New Roman" w:hAnsi="Times New Roman" w:cs="Times New Roman"/>
          <w:b/>
          <w:bCs/>
          <w:sz w:val="28"/>
          <w:szCs w:val="28"/>
        </w:rPr>
        <w:t>ICICI</w:t>
      </w:r>
      <w:r w:rsidRPr="00CF6C0B">
        <w:rPr>
          <w:rFonts w:ascii="Times New Roman" w:hAnsi="Times New Roman" w:cs="Times New Roman"/>
          <w:b/>
          <w:bCs/>
        </w:rPr>
        <w:t xml:space="preserve"> Bank</w:t>
      </w:r>
    </w:p>
    <w:p w14:paraId="627D4FB1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ICICI Bank shows a low beta of 0.37 and an expected return of 7.46%. The actual return (-0.76%) is significantly lower, indicating underperformance despite low systematic risk. This suggests exposure to non-systematic or firm-level risk factors.</w:t>
      </w:r>
    </w:p>
    <w:p w14:paraId="7C6715E9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pict w14:anchorId="26DD1A96">
          <v:rect id="_x0000_i1065" style="width:0;height:1.5pt" o:hralign="center" o:hrstd="t" o:hr="t" fillcolor="#a0a0a0" stroked="f"/>
        </w:pict>
      </w:r>
    </w:p>
    <w:p w14:paraId="19C078F8" w14:textId="27E7BE2C" w:rsidR="00CF6C0B" w:rsidRPr="00CF6C0B" w:rsidRDefault="00CF6C0B" w:rsidP="00CF6C0B">
      <w:pPr>
        <w:rPr>
          <w:rFonts w:ascii="Times New Roman" w:hAnsi="Times New Roman" w:cs="Times New Roman"/>
          <w:b/>
          <w:bCs/>
        </w:rPr>
      </w:pPr>
      <w:r w:rsidRPr="00CF6C0B">
        <w:rPr>
          <w:rFonts w:ascii="Times New Roman" w:hAnsi="Times New Roman" w:cs="Times New Roman"/>
          <w:b/>
          <w:bCs/>
        </w:rPr>
        <w:t xml:space="preserve"> </w:t>
      </w:r>
      <w:r w:rsidRPr="00CF6C0B">
        <w:rPr>
          <w:rFonts w:ascii="Times New Roman" w:hAnsi="Times New Roman" w:cs="Times New Roman"/>
          <w:b/>
          <w:bCs/>
          <w:sz w:val="28"/>
          <w:szCs w:val="28"/>
        </w:rPr>
        <w:t>Overall</w:t>
      </w:r>
      <w:r w:rsidRPr="00CF6C0B">
        <w:rPr>
          <w:rFonts w:ascii="Times New Roman" w:hAnsi="Times New Roman" w:cs="Times New Roman"/>
          <w:b/>
          <w:bCs/>
        </w:rPr>
        <w:t xml:space="preserve"> </w:t>
      </w:r>
      <w:r w:rsidRPr="00CF6C0B">
        <w:rPr>
          <w:rFonts w:ascii="Times New Roman" w:hAnsi="Times New Roman" w:cs="Times New Roman"/>
          <w:b/>
          <w:bCs/>
          <w:sz w:val="28"/>
          <w:szCs w:val="28"/>
        </w:rPr>
        <w:t>Observations</w:t>
      </w:r>
    </w:p>
    <w:p w14:paraId="07ED762C" w14:textId="77777777" w:rsidR="00CF6C0B" w:rsidRPr="00CF6C0B" w:rsidRDefault="00CF6C0B" w:rsidP="00CF6C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Three stocks (Reliance, TCS, HDFC Bank) underperformed relative to CAPM predictions.</w:t>
      </w:r>
    </w:p>
    <w:p w14:paraId="3BDB32AD" w14:textId="77777777" w:rsidR="00CF6C0B" w:rsidRPr="00CF6C0B" w:rsidRDefault="00CF6C0B" w:rsidP="00CF6C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lastRenderedPageBreak/>
        <w:t>One stock (Infosys) significantly outperformed the model.</w:t>
      </w:r>
    </w:p>
    <w:p w14:paraId="6333F5A1" w14:textId="77777777" w:rsidR="00CF6C0B" w:rsidRPr="00CF6C0B" w:rsidRDefault="00CF6C0B" w:rsidP="00CF6C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Low-beta stocks did not consistently deliver stable or predictable returns.</w:t>
      </w:r>
    </w:p>
    <w:p w14:paraId="03C5C3D9" w14:textId="0797E4B0" w:rsidR="00CF6C0B" w:rsidRDefault="00CF6C0B" w:rsidP="00CF6C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CAPM predictions were not uniformly aligned with actual performance</w:t>
      </w:r>
    </w:p>
    <w:p w14:paraId="1FA3C159" w14:textId="77777777" w:rsidR="00CF6C0B" w:rsidRDefault="00CF6C0B" w:rsidP="00CF6C0B">
      <w:pPr>
        <w:rPr>
          <w:rFonts w:ascii="Times New Roman" w:hAnsi="Times New Roman" w:cs="Times New Roman"/>
        </w:rPr>
      </w:pPr>
    </w:p>
    <w:p w14:paraId="0EFDAE3E" w14:textId="77777777" w:rsidR="00CF6C0B" w:rsidRPr="00CF6C0B" w:rsidRDefault="00CF6C0B" w:rsidP="00CF6C0B">
      <w:pPr>
        <w:rPr>
          <w:rFonts w:ascii="Times New Roman" w:hAnsi="Times New Roman" w:cs="Times New Roman"/>
        </w:rPr>
      </w:pPr>
    </w:p>
    <w:p w14:paraId="54F71C6B" w14:textId="63025489" w:rsidR="00CF6C0B" w:rsidRPr="00CF6C0B" w:rsidRDefault="00CF6C0B" w:rsidP="00CF6C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6C0B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Pr="00CF6C0B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70A24BE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The empirical results indicate that while CAPM provides a theoretical framework linking systematic risk (beta) to expected return, real-world returns deviate meaningfully from model predictions.</w:t>
      </w:r>
    </w:p>
    <w:p w14:paraId="4B3047C4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Significant overperformance in Infosys and consistent underperformance in several stocks suggest that firm-specific factors, sectoral dynamics, and market sentiment play a substantial role beyond systematic risk.</w:t>
      </w:r>
    </w:p>
    <w:p w14:paraId="163E13A1" w14:textId="77777777" w:rsidR="00CF6C0B" w:rsidRPr="00CF6C0B" w:rsidRDefault="00CF6C0B" w:rsidP="00CF6C0B">
      <w:pPr>
        <w:rPr>
          <w:rFonts w:ascii="Times New Roman" w:hAnsi="Times New Roman" w:cs="Times New Roman"/>
        </w:rPr>
      </w:pPr>
      <w:r w:rsidRPr="00CF6C0B">
        <w:rPr>
          <w:rFonts w:ascii="Times New Roman" w:hAnsi="Times New Roman" w:cs="Times New Roman"/>
        </w:rPr>
        <w:t>Therefore, although CAPM remains a useful benchmark for estimating required returns, it does not fully capture the complexity of stock return behaviour in the Indian equity market.</w:t>
      </w:r>
    </w:p>
    <w:p w14:paraId="38B14B1C" w14:textId="77777777" w:rsidR="00CF6C0B" w:rsidRPr="00CF6C0B" w:rsidRDefault="00CF6C0B" w:rsidP="006E5B52">
      <w:pPr>
        <w:rPr>
          <w:rFonts w:ascii="Times New Roman" w:hAnsi="Times New Roman" w:cs="Times New Roman"/>
        </w:rPr>
      </w:pPr>
    </w:p>
    <w:sectPr w:rsidR="00CF6C0B" w:rsidRPr="00CF6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4870"/>
    <w:multiLevelType w:val="multilevel"/>
    <w:tmpl w:val="86C0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74D8E"/>
    <w:multiLevelType w:val="multilevel"/>
    <w:tmpl w:val="2A2A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39618">
    <w:abstractNumId w:val="0"/>
  </w:num>
  <w:num w:numId="2" w16cid:durableId="36578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52"/>
    <w:rsid w:val="005F52AF"/>
    <w:rsid w:val="006E5B52"/>
    <w:rsid w:val="00CF6C0B"/>
    <w:rsid w:val="00E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46F3"/>
  <w15:chartTrackingRefBased/>
  <w15:docId w15:val="{105B1085-4D55-4D1C-87BC-1B991F46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Meharine Fathima</dc:creator>
  <cp:keywords/>
  <dc:description/>
  <cp:lastModifiedBy>Meharine Fathima</cp:lastModifiedBy>
  <cp:revision>2</cp:revision>
  <dcterms:created xsi:type="dcterms:W3CDTF">2026-02-28T07:09:00Z</dcterms:created>
  <dcterms:modified xsi:type="dcterms:W3CDTF">2026-02-28T07:39:00Z</dcterms:modified>
</cp:coreProperties>
</file>