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b/>
          <w:bCs/>
          <w:i w:val="false"/>
          <w:iCs w:val="false"/>
          <w:color w:val="3B4A8C"/>
          <w:sz w:val="20"/>
          <w:szCs w:val="20"/>
        </w:rPr>
        <w:t xml:space="preserve">NEUROQAA.AI</w:t>
      </w:r>
    </w:p>
    <w:p>
      <w:pPr>
        <w:spacing w:after="200"/>
      </w:pPr>
      <w:r>
        <w:rPr>
          <w:b/>
          <w:bCs/>
          <w:color w:val="1F2A5C"/>
          <w:sz w:val="56"/>
          <w:szCs w:val="56"/>
        </w:rPr>
        <w:t xml:space="preserve">Technical Scope of Work</w:t>
      </w:r>
    </w:p>
    <w:p>
      <w:pPr>
        <w:spacing w:after="500"/>
      </w:pPr>
      <w:r>
        <w:rPr>
          <w:b w:val="false"/>
          <w:bCs w:val="false"/>
          <w:i w:val="false"/>
          <w:iCs w:val="false"/>
          <w:color w:val="5B5F6B"/>
          <w:sz w:val="25"/>
          <w:szCs w:val="25"/>
        </w:rPr>
        <w:t xml:space="preserve">Neuroqaa POS — Restaurant Edition</w:t>
      </w:r>
    </w:p>
    <w:p>
      <w:pPr>
        <w:spacing w:after="90"/>
      </w:pPr>
      <w:r>
        <w:rPr>
          <w:b/>
          <w:bCs/>
          <w:color w:val="3B4A8C"/>
          <w:sz w:val="21"/>
          <w:szCs w:val="21"/>
        </w:rPr>
        <w:t xml:space="preserve">Prepared for:  </w:t>
      </w:r>
      <w:r>
        <w:rPr>
          <w:color w:val="222222"/>
          <w:sz w:val="21"/>
          <w:szCs w:val="21"/>
        </w:rPr>
        <w:t xml:space="preserve">[Client Name] — Restaurant Opening, Kingdom of Saudi Arabia</w:t>
      </w:r>
    </w:p>
    <w:p>
      <w:pPr>
        <w:spacing w:after="90"/>
      </w:pPr>
      <w:r>
        <w:rPr>
          <w:b/>
          <w:bCs/>
          <w:color w:val="3B4A8C"/>
          <w:sz w:val="21"/>
          <w:szCs w:val="21"/>
        </w:rPr>
        <w:t xml:space="preserve">Prepared by:  </w:t>
      </w:r>
      <w:r>
        <w:rPr>
          <w:color w:val="222222"/>
          <w:sz w:val="21"/>
          <w:szCs w:val="21"/>
        </w:rPr>
        <w:t xml:space="preserve">Neuroqaa.ai</w:t>
      </w:r>
    </w:p>
    <w:p>
      <w:pPr>
        <w:spacing w:after="90"/>
      </w:pPr>
      <w:r>
        <w:rPr>
          <w:b/>
          <w:bCs/>
          <w:color w:val="3B4A8C"/>
          <w:sz w:val="21"/>
          <w:szCs w:val="21"/>
        </w:rPr>
        <w:t xml:space="preserve">Engagement window:  </w:t>
      </w:r>
      <w:r>
        <w:rPr>
          <w:color w:val="222222"/>
          <w:sz w:val="21"/>
          <w:szCs w:val="21"/>
        </w:rPr>
        <w:t xml:space="preserve">Monday, 31 August 2026 – Sunday, 18 October 2026 (7 weeks)</w:t>
      </w:r>
    </w:p>
    <w:p>
      <w:pPr>
        <w:spacing w:after="90"/>
      </w:pPr>
      <w:r>
        <w:rPr>
          <w:b/>
          <w:bCs/>
          <w:color w:val="3B4A8C"/>
          <w:sz w:val="21"/>
          <w:szCs w:val="21"/>
        </w:rPr>
        <w:t xml:space="preserve">Document version:  </w:t>
      </w:r>
      <w:r>
        <w:rPr>
          <w:color w:val="222222"/>
          <w:sz w:val="21"/>
          <w:szCs w:val="21"/>
        </w:rPr>
        <w:t xml:space="preserve">2.0 — supersedes v1.0. See Section 14, Change Log, for what changed and why.</w:t>
      </w:r>
    </w:p>
    <w:p>
      <w:r>
        <w:br w:type="page"/>
      </w:r>
    </w:p>
    <w:p>
      <w:pPr>
        <w:pStyle w:val="Heading1"/>
        <w:pBdr>
          <w:bottom w:val="single" w:color="C9CEDD" w:sz="6" w:space="4"/>
        </w:pBdr>
        <w:spacing w:after="200" w:before="420"/>
      </w:pPr>
      <w:r>
        <w:rPr>
          <w:b/>
          <w:bCs/>
          <w:color w:val="1F2A5C"/>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CEDD" w:sz="6" w:space="4"/>
        </w:pBdr>
        <w:spacing w:after="200" w:before="420"/>
      </w:pPr>
      <w:r>
        <w:rPr>
          <w:b/>
          <w:bCs/>
          <w:color w:val="1F2A5C"/>
          <w:sz w:val="30"/>
          <w:szCs w:val="30"/>
        </w:rPr>
        <w:t xml:space="preserve">1. Purpose of this Document</w:t>
      </w:r>
    </w:p>
    <w:p>
      <w:pPr>
        <w:spacing w:after="160"/>
      </w:pPr>
      <w:r>
        <w:rPr>
          <w:b w:val="false"/>
          <w:bCs w:val="false"/>
          <w:i w:val="false"/>
          <w:iCs w:val="false"/>
          <w:color w:val="222222"/>
          <w:sz w:val="22"/>
          <w:szCs w:val="22"/>
        </w:rPr>
        <w:t xml:space="preserve">This Scope of Work defines what Neuroqaa.ai will design, build, test, and deliver for the Neuroqaa POS — Restaurant Edition engagement: the workflows each feature supports, how the work is broken into milestones across a 7-week build, and what is explicitly out of scope for this phase. It is intended to be reviewed and signed off by both the Neuroqaa delivery team and the client before development begins.</w:t>
      </w:r>
    </w:p>
    <w:p>
      <w:pPr>
        <w:spacing w:after="160"/>
      </w:pPr>
      <w:r>
        <w:rPr>
          <w:b w:val="false"/>
          <w:bCs w:val="false"/>
          <w:i w:val="false"/>
          <w:iCs w:val="false"/>
          <w:color w:val="222222"/>
          <w:sz w:val="22"/>
          <w:szCs w:val="22"/>
        </w:rPr>
        <w:t xml:space="preserve">This document covers Product 1 of a two-product engagement. Product 2, the Neuroqaa Ad Engine, is scoped separately and is built by a separate team; the point of integration between the two products is described in Section 9.</w:t>
      </w:r>
    </w:p>
    <w:tbl>
      <w:tblPr>
        <w:tblW w:type="dxa" w:w="9350"/>
        <w:tblBorders>
          <w:top w:val="single" w:color="1E6B34" w:sz="4"/>
          <w:left w:val="single" w:color="1E6B34" w:sz="16"/>
          <w:bottom w:val="single" w:color="1E6B34" w:sz="4"/>
          <w:right w:val="single" w:color="1E6B34" w:sz="4"/>
          <w:insideH w:val="none" w:color="FFFFFF" w:sz="0"/>
          <w:insideV w:val="none" w:color="FFFFFF" w:sz="0"/>
        </w:tblBorders>
      </w:tblPr>
      <w:tblGrid>
        <w:gridCol w:w="9350"/>
      </w:tblGrid>
      <w:tr>
        <w:tc>
          <w:tcPr>
            <w:tcW w:type="dxa" w:w="9350"/>
            <w:shd w:fill="E5F3E8" w:val="clear"/>
            <w:tcMar>
              <w:top w:type="dxa" w:w="140"/>
              <w:left w:type="dxa" w:w="180"/>
              <w:bottom w:type="dxa" w:w="140"/>
              <w:right w:type="dxa" w:w="180"/>
            </w:tcMar>
          </w:tcPr>
          <w:p>
            <w:pPr>
              <w:spacing w:after="60"/>
            </w:pPr>
            <w:r>
              <w:rPr>
                <w:b/>
                <w:bCs/>
                <w:color w:val="1E6B34"/>
                <w:sz w:val="19"/>
                <w:szCs w:val="19"/>
              </w:rPr>
              <w:t xml:space="preserve">This is version 2.0</w:t>
            </w:r>
          </w:p>
          <w:p>
            <w:pPr>
              <w:spacing w:after="0"/>
            </w:pPr>
            <w:r>
              <w:rPr>
                <w:color w:val="222222"/>
                <w:sz w:val="21"/>
                <w:szCs w:val="21"/>
              </w:rPr>
              <w:t xml:space="preserve">This revision reconciles v1.0 against the client's own requirements checklist and an updated review of the in-house codebase. Section 14 lists every change from v1.0 and the reason for it — read that section first if you reviewed v1.0.</w:t>
            </w:r>
          </w:p>
        </w:tc>
      </w:tr>
    </w:tbl>
    <w:p>
      <w:pPr>
        <w:pStyle w:val="Heading1"/>
        <w:pBdr>
          <w:bottom w:val="single" w:color="C9CEDD" w:sz="6" w:space="4"/>
        </w:pBdr>
        <w:spacing w:after="200" w:before="420"/>
      </w:pPr>
      <w:r>
        <w:rPr>
          <w:b/>
          <w:bCs/>
          <w:color w:val="1F2A5C"/>
          <w:sz w:val="30"/>
          <w:szCs w:val="30"/>
        </w:rPr>
        <w:t xml:space="preserve">2. Business Objectives</w:t>
      </w:r>
    </w:p>
    <w:p>
      <w:pPr>
        <w:pStyle w:val="ListParagraph"/>
        <w:numPr>
          <w:ilvl w:val="0"/>
          <w:numId w:val="1"/>
        </w:numPr>
        <w:spacing w:after="90"/>
      </w:pPr>
      <w:r>
        <w:rPr>
          <w:color w:val="222222"/>
          <w:sz w:val="22"/>
          <w:szCs w:val="22"/>
        </w:rPr>
        <w:t xml:space="preserve">Give the restaurant a single operational system spanning reservations, order-taking, and billing — replacing manual/paper coordination between counters.</w:t>
      </w:r>
    </w:p>
    <w:p>
      <w:pPr>
        <w:pStyle w:val="ListParagraph"/>
        <w:numPr>
          <w:ilvl w:val="0"/>
          <w:numId w:val="1"/>
        </w:numPr>
        <w:spacing w:after="90"/>
      </w:pPr>
      <w:r>
        <w:rPr>
          <w:color w:val="222222"/>
          <w:sz w:val="22"/>
          <w:szCs w:val="22"/>
        </w:rPr>
        <w:t xml:space="preserve">Let guests order independently via a printed QR code at each table, reducing wait time and staff load during peak service.</w:t>
      </w:r>
    </w:p>
    <w:p>
      <w:pPr>
        <w:pStyle w:val="ListParagraph"/>
        <w:numPr>
          <w:ilvl w:val="0"/>
          <w:numId w:val="1"/>
        </w:numPr>
        <w:spacing w:after="90"/>
      </w:pPr>
      <w:r>
        <w:rPr>
          <w:color w:val="222222"/>
          <w:sz w:val="22"/>
          <w:szCs w:val="22"/>
        </w:rPr>
        <w:t xml:space="preserve">Provide a 24/7 WhatsApp AI concierge for reservations and menu questions, extending service hours beyond staffed hours.</w:t>
      </w:r>
    </w:p>
    <w:p>
      <w:pPr>
        <w:pStyle w:val="ListParagraph"/>
        <w:numPr>
          <w:ilvl w:val="0"/>
          <w:numId w:val="1"/>
        </w:numPr>
        <w:spacing w:after="90"/>
      </w:pPr>
      <w:r>
        <w:rPr>
          <w:color w:val="222222"/>
          <w:sz w:val="22"/>
          <w:szCs w:val="22"/>
        </w:rPr>
        <w:t xml:space="preserve">Support delivery orders alongside dine-in, takeaway, and pickup, using the same order pipeline and reporting.</w:t>
      </w:r>
    </w:p>
    <w:p>
      <w:pPr>
        <w:pStyle w:val="ListParagraph"/>
        <w:numPr>
          <w:ilvl w:val="0"/>
          <w:numId w:val="1"/>
        </w:numPr>
        <w:spacing w:after="90"/>
      </w:pPr>
      <w:r>
        <w:rPr>
          <w:b/>
          <w:bCs/>
        </w:rPr>
        <w:t xml:space="preserve">Keep the floor operating through a connectivity outage </w:t>
      </w:r>
      <w:r>
        <w:t xml:space="preserve">— orders, tables, and billing continue on a local queue and sync automatically once the venue's internet returns, rather than stopping service. See Section 5.2.</w:t>
      </w:r>
    </w:p>
    <w:p>
      <w:pPr>
        <w:pStyle w:val="ListParagraph"/>
        <w:numPr>
          <w:ilvl w:val="0"/>
          <w:numId w:val="1"/>
        </w:numPr>
        <w:spacing w:after="90"/>
      </w:pPr>
      <w:r>
        <w:rPr>
          <w:color w:val="222222"/>
          <w:sz w:val="22"/>
          <w:szCs w:val="22"/>
        </w:rPr>
        <w:t xml:space="preserve">Be fully compliant with Saudi e-invoicing (ZATCA Phase 2) and VAT requirements from the day the restaurant opens.</w:t>
      </w:r>
    </w:p>
    <w:p>
      <w:pPr>
        <w:pStyle w:val="ListParagraph"/>
        <w:numPr>
          <w:ilvl w:val="0"/>
          <w:numId w:val="1"/>
        </w:numPr>
        <w:spacing w:after="90"/>
      </w:pPr>
      <w:r>
        <w:rPr>
          <w:color w:val="222222"/>
          <w:sz w:val="22"/>
          <w:szCs w:val="22"/>
        </w:rPr>
        <w:t xml:space="preserve">Be live, tested, and staff-trained with buffer time before the restaurant's mid-October 2026 opening.</w:t>
      </w:r>
    </w:p>
    <w:p>
      <w:pPr>
        <w:pStyle w:val="Heading1"/>
        <w:pBdr>
          <w:bottom w:val="single" w:color="C9CEDD" w:sz="6" w:space="4"/>
        </w:pBdr>
        <w:spacing w:after="200" w:before="420"/>
      </w:pPr>
      <w:r>
        <w:rPr>
          <w:b/>
          <w:bCs/>
          <w:color w:val="1F2A5C"/>
          <w:sz w:val="30"/>
          <w:szCs w:val="30"/>
        </w:rPr>
        <w:t xml:space="preserve">3. Scope Summary</w:t>
      </w:r>
    </w:p>
    <w:p>
      <w:pPr>
        <w:pStyle w:val="Heading3"/>
        <w:spacing w:after="100" w:before="220"/>
      </w:pPr>
      <w:r>
        <w:rPr>
          <w:b/>
          <w:bCs/>
          <w:i w:val="false"/>
          <w:iCs w:val="false"/>
          <w:color w:val="222222"/>
          <w:sz w:val="22"/>
          <w:szCs w:val="22"/>
        </w:rPr>
        <w:t xml:space="preserve">In scope for this phase (launch, by 18 October 2026)</w:t>
      </w:r>
    </w:p>
    <w:p>
      <w:pPr>
        <w:pStyle w:val="ListParagraph"/>
        <w:numPr>
          <w:ilvl w:val="0"/>
          <w:numId w:val="1"/>
        </w:numPr>
        <w:spacing w:after="90"/>
      </w:pPr>
      <w:r>
        <w:rPr>
          <w:color w:val="222222"/>
          <w:sz w:val="22"/>
          <w:szCs w:val="22"/>
        </w:rPr>
        <w:t xml:space="preserve">Cloud-hosted, multi-counter POS: reservation counter, order-confirmation counter, billing counter, kept in sync in real time.</w:t>
      </w:r>
    </w:p>
    <w:p>
      <w:pPr>
        <w:pStyle w:val="ListParagraph"/>
        <w:numPr>
          <w:ilvl w:val="0"/>
          <w:numId w:val="1"/>
        </w:numPr>
        <w:spacing w:after="90"/>
      </w:pPr>
      <w:r>
        <w:rPr>
          <w:b/>
          <w:bCs/>
          <w:color w:val="1E6B34"/>
        </w:rPr>
        <w:t xml:space="preserve">Offline-capable operation </w:t>
      </w:r>
      <w:r>
        <w:rPr>
          <w:color w:val="222222"/>
        </w:rPr>
        <w:t xml:space="preserve">— every counter continues taking orders, managing tables, and billing against a local queue during a connectivity outage, syncing automatically once reconnected, with duplicate-transaction prevention built in. See Section 5.2.</w:t>
      </w:r>
    </w:p>
    <w:p>
      <w:pPr>
        <w:pStyle w:val="ListParagraph"/>
        <w:numPr>
          <w:ilvl w:val="0"/>
          <w:numId w:val="1"/>
        </w:numPr>
        <w:spacing w:after="90"/>
      </w:pPr>
      <w:r>
        <w:rPr>
          <w:color w:val="222222"/>
          <w:sz w:val="22"/>
          <w:szCs w:val="22"/>
        </w:rPr>
        <w:t xml:space="preserve">Table &amp; floor management with live status: available / occupied / reserved / needs cleaning / blocked.</w:t>
      </w:r>
    </w:p>
    <w:p>
      <w:pPr>
        <w:pStyle w:val="ListParagraph"/>
        <w:numPr>
          <w:ilvl w:val="0"/>
          <w:numId w:val="1"/>
        </w:numPr>
        <w:spacing w:after="90"/>
      </w:pPr>
      <w:r>
        <w:rPr>
          <w:color w:val="222222"/>
          <w:sz w:val="22"/>
          <w:szCs w:val="22"/>
        </w:rPr>
        <w:t xml:space="preserve">Digital menu with categories, items, modifiers, and staff-controlled availability (86'ing).</w:t>
      </w:r>
    </w:p>
    <w:p>
      <w:pPr>
        <w:pStyle w:val="ListParagraph"/>
        <w:numPr>
          <w:ilvl w:val="0"/>
          <w:numId w:val="1"/>
        </w:numPr>
        <w:spacing w:after="90"/>
      </w:pPr>
      <w:r>
        <w:rPr>
          <w:color w:val="222222"/>
          <w:sz w:val="22"/>
          <w:szCs w:val="22"/>
        </w:rPr>
        <w:t xml:space="preserve">QR-code table ordering — guests order from their own device, no app download.</w:t>
      </w:r>
    </w:p>
    <w:p>
      <w:pPr>
        <w:pStyle w:val="ListParagraph"/>
        <w:numPr>
          <w:ilvl w:val="0"/>
          <w:numId w:val="1"/>
        </w:numPr>
        <w:spacing w:after="90"/>
      </w:pPr>
      <w:r>
        <w:rPr>
          <w:color w:val="222222"/>
          <w:sz w:val="22"/>
          <w:szCs w:val="22"/>
        </w:rPr>
        <w:t xml:space="preserve">Order lifecycle management from placement through kitchen confirmation to being served.</w:t>
      </w:r>
    </w:p>
    <w:p>
      <w:pPr>
        <w:pStyle w:val="ListParagraph"/>
        <w:numPr>
          <w:ilvl w:val="0"/>
          <w:numId w:val="1"/>
        </w:numPr>
        <w:spacing w:after="90"/>
      </w:pPr>
      <w:r>
        <w:rPr>
          <w:b/>
          <w:bCs/>
          <w:color w:val="1E6B34"/>
        </w:rPr>
        <w:t xml:space="preserve">Delivery orders (basic) </w:t>
      </w:r>
      <w:r>
        <w:rPr>
          <w:color w:val="222222"/>
        </w:rPr>
        <w:t xml:space="preserve">— delivery as a fourth order type alongside dine-in/takeaway/pickup, with zones, delivery charges, address capture, and status tracking. Third-party delivery-platform integration is not included — see Out of Scope, below.</w:t>
      </w:r>
    </w:p>
    <w:p>
      <w:pPr>
        <w:pStyle w:val="ListParagraph"/>
        <w:numPr>
          <w:ilvl w:val="0"/>
          <w:numId w:val="1"/>
        </w:numPr>
        <w:spacing w:after="90"/>
      </w:pPr>
      <w:r>
        <w:rPr>
          <w:color w:val="222222"/>
          <w:sz w:val="22"/>
          <w:szCs w:val="22"/>
        </w:rPr>
        <w:t xml:space="preserve">Billing counter with bill assembly, split/combine, and payment recording.</w:t>
      </w:r>
    </w:p>
    <w:p>
      <w:pPr>
        <w:pStyle w:val="ListParagraph"/>
        <w:numPr>
          <w:ilvl w:val="0"/>
          <w:numId w:val="1"/>
        </w:numPr>
        <w:spacing w:after="90"/>
      </w:pPr>
      <w:r>
        <w:rPr>
          <w:color w:val="222222"/>
          <w:sz w:val="22"/>
          <w:szCs w:val="22"/>
        </w:rPr>
        <w:t xml:space="preserve">ZATCA Phase 2 compliant Simplified Tax Invoices — real-time QR/cryptographic stamp, 24-hour Fatoora reporting, queued and retried if the venue is offline or the middleware is briefly unreachable.</w:t>
      </w:r>
    </w:p>
    <w:p>
      <w:pPr>
        <w:pStyle w:val="ListParagraph"/>
        <w:numPr>
          <w:ilvl w:val="0"/>
          <w:numId w:val="1"/>
        </w:numPr>
        <w:spacing w:after="90"/>
      </w:pPr>
      <w:r>
        <w:rPr>
          <w:color w:val="222222"/>
          <w:sz w:val="22"/>
          <w:szCs w:val="22"/>
        </w:rPr>
        <w:t xml:space="preserve">WhatsApp AI concierge for reservations and menu/hours Q&amp;A, with human handoff for allergy questions, complaints, and edge cases.</w:t>
      </w:r>
    </w:p>
    <w:p>
      <w:pPr>
        <w:pStyle w:val="ListParagraph"/>
        <w:numPr>
          <w:ilvl w:val="0"/>
          <w:numId w:val="1"/>
        </w:numPr>
        <w:spacing w:after="90"/>
      </w:pPr>
      <w:r>
        <w:rPr>
          <w:color w:val="222222"/>
          <w:sz w:val="22"/>
          <w:szCs w:val="22"/>
        </w:rPr>
        <w:t xml:space="preserve">Shift management and cash reconciliation at the billing counter.</w:t>
      </w:r>
    </w:p>
    <w:p>
      <w:pPr>
        <w:pStyle w:val="ListParagraph"/>
        <w:numPr>
          <w:ilvl w:val="0"/>
          <w:numId w:val="1"/>
        </w:numPr>
        <w:spacing w:after="90"/>
      </w:pPr>
      <w:r>
        <w:rPr>
          <w:color w:val="222222"/>
          <w:sz w:val="22"/>
          <w:szCs w:val="22"/>
        </w:rPr>
        <w:t xml:space="preserve">PDF and thermal (ESC/POS) receipt printing, bilingual Arabic/English.</w:t>
      </w:r>
    </w:p>
    <w:p>
      <w:pPr>
        <w:pStyle w:val="ListParagraph"/>
        <w:numPr>
          <w:ilvl w:val="0"/>
          <w:numId w:val="1"/>
        </w:numPr>
        <w:spacing w:after="90"/>
      </w:pPr>
      <w:r>
        <w:rPr>
          <w:color w:val="222222"/>
          <w:sz w:val="22"/>
          <w:szCs w:val="22"/>
        </w:rPr>
        <w:t xml:space="preserve">Role-based staff accounts: owner, manager, host, waiter/order-taker, kitchen, cashier.</w:t>
      </w:r>
    </w:p>
    <w:p>
      <w:pPr>
        <w:pStyle w:val="Heading3"/>
        <w:spacing w:after="100" w:before="220"/>
      </w:pPr>
      <w:r>
        <w:rPr>
          <w:b/>
          <w:bCs/>
          <w:i w:val="false"/>
          <w:iCs w:val="false"/>
          <w:color w:val="222222"/>
          <w:sz w:val="22"/>
          <w:szCs w:val="22"/>
        </w:rPr>
        <w:t xml:space="preserve">Explicitly out of scope for this phase (Phase 2 candidates)</w:t>
      </w:r>
    </w:p>
    <w:p>
      <w:pPr>
        <w:pStyle w:val="ListParagraph"/>
        <w:numPr>
          <w:ilvl w:val="0"/>
          <w:numId w:val="1"/>
        </w:numPr>
        <w:spacing w:after="90"/>
      </w:pPr>
      <w:r>
        <w:rPr>
          <w:color w:val="222222"/>
          <w:sz w:val="22"/>
          <w:szCs w:val="22"/>
        </w:rPr>
        <w:t xml:space="preserve">A downloadable native ordering app for guests (QR-based web ordering replaces this for launch, by the client's own request).</w:t>
      </w:r>
    </w:p>
    <w:p>
      <w:pPr>
        <w:pStyle w:val="ListParagraph"/>
        <w:numPr>
          <w:ilvl w:val="0"/>
          <w:numId w:val="1"/>
        </w:numPr>
        <w:spacing w:after="90"/>
      </w:pPr>
      <w:r>
        <w:rPr>
          <w:b/>
          <w:bCs/>
        </w:rPr>
        <w:t xml:space="preserve">Third-party delivery-aggregator integration </w:t>
      </w:r>
      <w:r>
        <w:t xml:space="preserve">(each delivery platform's API, menu-sync format, and commission model is its own integration project). Phase 1 covers in-house delivery order management only — see Section 6.6.</w:t>
      </w:r>
    </w:p>
    <w:p>
      <w:pPr>
        <w:pStyle w:val="ListParagraph"/>
        <w:numPr>
          <w:ilvl w:val="0"/>
          <w:numId w:val="1"/>
        </w:numPr>
        <w:spacing w:after="90"/>
      </w:pPr>
      <w:r>
        <w:rPr>
          <w:b/>
          <w:bCs/>
        </w:rPr>
        <w:t xml:space="preserve">Ingredient-level inventory and recipe costing </w:t>
      </w:r>
      <w:r>
        <w:t xml:space="preserve">(recipe-to-ingredient mapping, real-time consumption, supplier/purchasing integration, batch/expiry tracking). Phase 1 keeps finished-menu-item availability toggling only.</w:t>
      </w:r>
    </w:p>
    <w:p>
      <w:pPr>
        <w:pStyle w:val="ListParagraph"/>
        <w:numPr>
          <w:ilvl w:val="0"/>
          <w:numId w:val="1"/>
        </w:numPr>
        <w:spacing w:after="90"/>
      </w:pPr>
      <w:r>
        <w:rPr>
          <w:b/>
          <w:bCs/>
        </w:rPr>
        <w:t xml:space="preserve">Multi-branch / multi-location administration </w:t>
      </w:r>
      <w:r>
        <w:t xml:space="preserve">(a central admin panel with branch-level overrides). Single location for this engagement; the data model does not block adding this later.</w:t>
      </w:r>
    </w:p>
    <w:p>
      <w:pPr>
        <w:pStyle w:val="ListParagraph"/>
        <w:numPr>
          <w:ilvl w:val="0"/>
          <w:numId w:val="1"/>
        </w:numPr>
        <w:spacing w:after="90"/>
      </w:pPr>
      <w:r>
        <w:rPr>
          <w:b/>
          <w:bCs/>
        </w:rPr>
        <w:t xml:space="preserve">HR / biometric employee-attendance system integration </w:t>
      </w:r>
      <w:r>
        <w:t xml:space="preserve">— pending client confirmation of whether a specific system is in use; no build without that answer.</w:t>
      </w:r>
    </w:p>
    <w:p>
      <w:pPr>
        <w:pStyle w:val="ListParagraph"/>
        <w:numPr>
          <w:ilvl w:val="0"/>
          <w:numId w:val="1"/>
        </w:numPr>
        <w:spacing w:after="90"/>
      </w:pPr>
      <w:r>
        <w:rPr>
          <w:color w:val="222222"/>
          <w:sz w:val="22"/>
          <w:szCs w:val="22"/>
        </w:rPr>
        <w:t xml:space="preserve">Post-visit guest feedback collection and loyalty/repeat-visit automation.</w:t>
      </w:r>
    </w:p>
    <w:p>
      <w:pPr>
        <w:pStyle w:val="Heading1"/>
        <w:pBdr>
          <w:bottom w:val="single" w:color="C9CEDD" w:sz="6" w:space="4"/>
        </w:pBdr>
        <w:spacing w:after="200" w:before="420"/>
      </w:pPr>
      <w:r>
        <w:rPr>
          <w:b/>
          <w:bCs/>
          <w:color w:val="1F2A5C"/>
          <w:sz w:val="30"/>
          <w:szCs w:val="30"/>
        </w:rPr>
        <w:t xml:space="preserve">4. Regulatory &amp; Compliance Requirements</w:t>
      </w:r>
    </w:p>
    <w:p>
      <w:pPr>
        <w:spacing w:after="160"/>
      </w:pPr>
      <w:r>
        <w:rPr>
          <w:b w:val="false"/>
          <w:bCs w:val="false"/>
          <w:i w:val="false"/>
          <w:iCs w:val="false"/>
          <w:color w:val="222222"/>
          <w:sz w:val="22"/>
          <w:szCs w:val="22"/>
        </w:rPr>
        <w:t xml:space="preserve">The restaurant operates in the Kingdom of Saudi Arabia and is subject to ZATCA e-invoicing and VAT regulation. This section summarizes the requirements that shape the billing and invoicing architecture.</w:t>
      </w:r>
    </w:p>
    <w:p>
      <w:pPr>
        <w:pStyle w:val="ListParagraph"/>
        <w:numPr>
          <w:ilvl w:val="0"/>
          <w:numId w:val="1"/>
        </w:numPr>
        <w:spacing w:after="90"/>
      </w:pPr>
      <w:r>
        <w:rPr>
          <w:color w:val="222222"/>
          <w:sz w:val="22"/>
          <w:szCs w:val="22"/>
        </w:rPr>
        <w:t xml:space="preserve">Standard VAT rate: 15%, applied to all standard-rated menu sales.</w:t>
      </w:r>
    </w:p>
    <w:p>
      <w:pPr>
        <w:pStyle w:val="ListParagraph"/>
        <w:numPr>
          <w:ilvl w:val="0"/>
          <w:numId w:val="1"/>
        </w:numPr>
        <w:spacing w:after="90"/>
      </w:pPr>
      <w:r>
        <w:rPr>
          <w:color w:val="222222"/>
          <w:sz w:val="22"/>
          <w:szCs w:val="22"/>
        </w:rPr>
        <w:t xml:space="preserve">Invoices to individual diners are Simplified Tax Invoices (B2C): issued immediately to the guest with a locally generated, cryptographically stamped QR code, then reported to ZATCA's Fatoora platform within 24 hours.</w:t>
      </w:r>
    </w:p>
    <w:p>
      <w:pPr>
        <w:pStyle w:val="ListParagraph"/>
        <w:numPr>
          <w:ilvl w:val="0"/>
          <w:numId w:val="1"/>
        </w:numPr>
        <w:spacing w:after="90"/>
      </w:pPr>
      <w:r>
        <w:rPr>
          <w:color w:val="222222"/>
          <w:sz w:val="22"/>
          <w:szCs w:val="22"/>
        </w:rPr>
        <w:t xml:space="preserve">Mandatory Arabic text on invoices, structured XML (UBL 2.1) with embedded PDF/A-3, UUID, sequential invoice numbering, and a Cryptographic Stamp Identifier (CSID) onboarded with Fatoora before the system can legally issue invoices.</w:t>
      </w:r>
    </w:p>
    <w:p>
      <w:pPr>
        <w:pStyle w:val="ListParagraph"/>
        <w:numPr>
          <w:ilvl w:val="0"/>
          <w:numId w:val="1"/>
        </w:numPr>
        <w:spacing w:after="90"/>
      </w:pPr>
      <w:r>
        <w:rPr>
          <w:color w:val="222222"/>
          <w:sz w:val="22"/>
          <w:szCs w:val="22"/>
        </w:rPr>
        <w:t xml:space="preserve">Invoice and supporting records must be archived for six years, within Saudi Arabia.</w:t>
      </w:r>
    </w:p>
    <w:tbl>
      <w:tblPr>
        <w:tblW w:type="dxa" w:w="9350"/>
        <w:tblBorders>
          <w:top w:val="single" w:color="8A5A00" w:sz="4"/>
          <w:left w:val="single" w:color="8A5A00" w:sz="16"/>
          <w:bottom w:val="single" w:color="8A5A00" w:sz="4"/>
          <w:right w:val="single" w:color="8A5A00" w:sz="4"/>
          <w:insideH w:val="none" w:color="FFFFFF" w:sz="0"/>
          <w:insideV w:val="none" w:color="FFFFFF" w:sz="0"/>
        </w:tblBorders>
      </w:tblPr>
      <w:tblGrid>
        <w:gridCol w:w="9350"/>
      </w:tblGrid>
      <w:tr>
        <w:tc>
          <w:tcPr>
            <w:tcW w:type="dxa" w:w="9350"/>
            <w:shd w:fill="FCEFD9" w:val="clear"/>
            <w:tcMar>
              <w:top w:type="dxa" w:w="140"/>
              <w:left w:type="dxa" w:w="180"/>
              <w:bottom w:type="dxa" w:w="140"/>
              <w:right w:type="dxa" w:w="180"/>
            </w:tcMar>
          </w:tcPr>
          <w:p>
            <w:pPr>
              <w:spacing w:after="60"/>
            </w:pPr>
            <w:r>
              <w:rPr>
                <w:b/>
                <w:bCs/>
                <w:color w:val="8A5A00"/>
                <w:sz w:val="19"/>
                <w:szCs w:val="19"/>
              </w:rPr>
              <w:t xml:space="preserve">Compliance approach</w:t>
            </w:r>
          </w:p>
          <w:p>
            <w:pPr>
              <w:spacing w:after="0"/>
            </w:pPr>
            <w:r>
              <w:rPr>
                <w:color w:val="222222"/>
                <w:sz w:val="21"/>
                <w:szCs w:val="21"/>
              </w:rPr>
              <w:t xml:space="preserve">Neuroqaa will build the order, table, and billing domain in-house. For the ZATCA cryptographic stamping and Fatoora transmission step specifically, Neuroqaa will integrate with a ZATCA-compliant e-invoicing API/middleware rather than implementing the cryptographic protocol from first principles. Final applicability of ZATCA Phase 2 to this specific business (a newly opened entity without prior-year turnover history) should be confirmed by the client's Saudi-licensed accountant or ZATCA-authorized consultant before go-live; Neuroqaa is not a tax or legal advisor and this document does not constitute tax advice.</w:t>
            </w:r>
          </w:p>
        </w:tc>
      </w:tr>
    </w:tbl>
    <w:p>
      <w:pPr>
        <w:pStyle w:val="Heading1"/>
        <w:pBdr>
          <w:bottom w:val="single" w:color="C9CEDD" w:sz="6" w:space="4"/>
        </w:pBdr>
        <w:spacing w:after="200" w:before="420"/>
      </w:pPr>
      <w:r>
        <w:rPr>
          <w:b/>
          <w:bCs/>
          <w:color w:val="1F2A5C"/>
          <w:sz w:val="30"/>
          <w:szCs w:val="30"/>
        </w:rPr>
        <w:t xml:space="preserve">5. System Architecture</w:t>
      </w:r>
    </w:p>
    <w:p>
      <w:pPr>
        <w:pStyle w:val="Heading2"/>
        <w:spacing w:after="140" w:before="320"/>
      </w:pPr>
      <w:r>
        <w:rPr>
          <w:b/>
          <w:bCs/>
          <w:color w:val="3B4A8C"/>
          <w:sz w:val="25"/>
          <w:szCs w:val="25"/>
        </w:rPr>
        <w:t xml:space="preserve">5.1 Foundation: build on the existing Neuroqaa POS codebase</w:t>
      </w:r>
    </w:p>
    <w:p>
      <w:pPr>
        <w:spacing w:after="160"/>
      </w:pPr>
      <w:r>
        <w:rPr>
          <w:b w:val="false"/>
          <w:bCs w:val="false"/>
          <w:i w:val="false"/>
          <w:iCs w:val="false"/>
          <w:color w:val="222222"/>
          <w:sz w:val="22"/>
          <w:szCs w:val="22"/>
        </w:rPr>
        <w:t xml:space="preserve">This engagement builds on Neuroqaa's existing in-house POS codebase rather than starting from zero. The codebase has grown substantially since the original architecture review — the table below reflects its current state. Full detail and migration sequencing is in the companion “POS Reconciliation &amp; Migration Plan.”</w:t>
      </w:r>
    </w:p>
    <w:tbl>
      <w:tblPr>
        <w:tblW w:type="dxa" w:w="9350"/>
        <w:tblBorders>
          <w:top w:val="single" w:color="C9CEDD" w:sz="4"/>
          <w:left w:val="single" w:color="C9CEDD" w:sz="4"/>
          <w:bottom w:val="single" w:color="C9CEDD" w:sz="4"/>
          <w:right w:val="single" w:color="C9CEDD" w:sz="4"/>
          <w:insideH w:val="single" w:color="C9CEDD" w:sz="4"/>
          <w:insideV w:val="single" w:color="C9CEDD" w:sz="4"/>
        </w:tblBorders>
      </w:tblPr>
      <w:tblGrid>
        <w:gridCol w:w="2600"/>
        <w:gridCol w:w="1500"/>
        <w:gridCol w:w="5250"/>
      </w:tblGrid>
      <w:tr>
        <w:trPr>
          <w:tblHeader/>
        </w:trPr>
        <w:tc>
          <w:tcPr>
            <w:tcW w:type="dxa" w:w="26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Layer</w:t>
            </w:r>
          </w:p>
        </w:tc>
        <w:tc>
          <w:tcPr>
            <w:tcW w:type="dxa" w:w="15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Decision</w:t>
            </w:r>
          </w:p>
        </w:tc>
        <w:tc>
          <w:tcPr>
            <w:tcW w:type="dxa" w:w="52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Notes</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Auth &amp; roles</w:t>
            </w:r>
          </w:p>
        </w:tc>
        <w:tc>
          <w:tcPr>
            <w:tcW w:type="dxa" w:w="1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JWT auth retained; role set extended for restaurant floor roles.</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Money handling</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Integer-subunit pattern retained; adapted from paise to halalas (SAR).</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Shop settings &amp; deployment config</w:t>
            </w:r>
          </w:p>
        </w:tc>
        <w:tc>
          <w:tcPr>
            <w:tcW w:type="dxa" w:w="1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 &amp; extend</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DB-backed settings pattern retained; existing desktop/cloud settings split extended for dual-mode sync — see Section 5.2.</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Shift management</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Open/close + cash variance reused directly for the billing counter.</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Khata (credit / partial payment)</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Retain — new since v1.0</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Reused directly for deposits and partial payments on a bill.</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Void / return handling</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Retain — new since v1.0</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Authorized voids and returns reused for order voids/refunds.</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Receipts (PDF / thermal / HTML)</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Retain &amp; extend</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A more capable receipt engine than originally assumed; extended for bilingual Arabic/English and ZATCA invoice content.</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Audit / activity log</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Retain — new since v1.0</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Already production-grade; reused directly for compliance and floor-manager reporting.</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Multi-language (→ Arabic) + RTL</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Retain &amp; extend — new since v1.0</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Existing i18n/RTL framework reused; Arabic translation set and font applied in place of the existing language pair.</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Multi-tenancy scaffold</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Existing tenant_id field kept for future resale potential; single-tenant for this engagement.</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Frontend stack &amp; conventions</w:t>
            </w:r>
          </w:p>
        </w:tc>
        <w:tc>
          <w:tcPr>
            <w:tcW w:type="dxa" w:w="1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Retain</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React/Vite/TS/Tailwind/shadcn, TanStack Query, Zustand, RHF+zod all retained.</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Sale model / create_sale()</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Rebuild</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Replaced by a stateful Order lifecycle; locking/atomicity principles reapplied, not the model itself.</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Tables, reservations, menu/modifiers</w:t>
            </w:r>
          </w:p>
        </w:tc>
        <w:tc>
          <w:tcPr>
            <w:tcW w:type="dxa" w:w="1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Net-new domain apps — no equivalent exists in the current codebase.</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Real-time counter sync (online)</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No equivalent exists; introduced for this engagement.</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Offline sync layer</w:t>
            </w:r>
          </w:p>
        </w:tc>
        <w:tc>
          <w:tcPr>
            <w:tcW w:type="dxa" w:w="1500"/>
            <w:shd w:fill="FCEFD9" w:val="clear"/>
            <w:tcMar>
              <w:top w:type="dxa" w:w="90"/>
              <w:left w:type="dxa" w:w="110"/>
              <w:bottom w:type="dxa" w:w="90"/>
              <w:right w:type="dxa" w:w="110"/>
            </w:tcMar>
            <w:vAlign w:val="top"/>
          </w:tcPr>
          <w:p>
            <w:pPr>
              <w:jc w:val="left"/>
            </w:pPr>
            <w:r>
              <w:rPr>
                <w:b/>
                <w:bCs/>
                <w:i w:val="false"/>
                <w:iCs w:val="false"/>
                <w:color w:val="8A5A00"/>
                <w:sz w:val="20"/>
                <w:szCs w:val="20"/>
              </w:rPr>
              <w:t xml:space="preserve">New</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Generalizes the existing offline/cloud split — built for a single retail sale — to cover stateful, multi-counter restaurant objects. See Section 5.2.</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QR customer-facing ordering app</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Separate lightweight frontend; current app is internal-staff-only.</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Delivery orders (basic)</w:t>
            </w:r>
          </w:p>
        </w:tc>
        <w:tc>
          <w:tcPr>
            <w:tcW w:type="dxa" w:w="15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New</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Order type, zones/charges, address capture, status tracking. No third-party aggregator API.</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WhatsApp concierge</w:t>
            </w:r>
          </w:p>
        </w:tc>
        <w:tc>
          <w:tcPr>
            <w:tcW w:type="dxa" w:w="1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w:t>
            </w:r>
          </w:p>
        </w:tc>
        <w:tc>
          <w:tcPr>
            <w:tcW w:type="dxa" w:w="52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 LangGraph-based service.</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ZATCA e-invoicing</w:t>
            </w:r>
          </w:p>
        </w:tc>
        <w:tc>
          <w:tcPr>
            <w:tcW w:type="dxa" w:w="1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w:t>
            </w:r>
          </w:p>
        </w:tc>
        <w:tc>
          <w:tcPr>
            <w:tcW w:type="dxa" w:w="5250"/>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 compliance module / middleware integration.</w:t>
            </w:r>
          </w:p>
        </w:tc>
      </w:tr>
    </w:tbl>
    <w:p>
      <w:pPr>
        <w:pStyle w:val="Heading2"/>
        <w:spacing w:after="140" w:before="320"/>
      </w:pPr>
      <w:r>
        <w:rPr>
          <w:b/>
          <w:bCs/>
          <w:color w:val="3B4A8C"/>
          <w:sz w:val="25"/>
          <w:szCs w:val="25"/>
        </w:rPr>
        <w:t xml:space="preserve">5.2 Deployment model: cloud-hosted and offline-capable</w:t>
      </w:r>
    </w:p>
    <w:p>
      <w:pPr>
        <w:spacing w:after="160"/>
      </w:pPr>
      <w:r>
        <w:rPr>
          <w:b w:val="false"/>
          <w:bCs w:val="false"/>
          <w:i w:val="false"/>
          <w:iCs w:val="false"/>
          <w:color w:val="222222"/>
          <w:sz w:val="22"/>
          <w:szCs w:val="22"/>
        </w:rPr>
        <w:t xml:space="preserve">The system runs in two coordinated modes rather than one. In normal operation, every counter — reservation, order-confirmation, kitchen, billing — reads and writes against the cloud-hosted system in real time, exactly as described throughout this document. If the venue's internet connection drops, each counter continues operating against a local queue on its own device: orders can still be taken, tables managed, and bills closed. Once connectivity returns, that queue synchronizes automatically with the cloud system, with duplicate-transaction prevention built into the sync design.</w:t>
      </w:r>
    </w:p>
    <w:p>
      <w:pPr>
        <w:spacing w:after="160"/>
      </w:pPr>
      <w:r>
        <w:rPr>
          <w:b w:val="false"/>
          <w:bCs w:val="false"/>
          <w:i w:val="false"/>
          <w:iCs w:val="false"/>
          <w:color w:val="222222"/>
          <w:sz w:val="22"/>
          <w:szCs w:val="22"/>
        </w:rPr>
        <w:t xml:space="preserve">Two exceptions are inherent to what they do, not a limitation of this design: the WhatsApp concierge requires an internet connection to function at all, and the final ZATCA cryptographic stamp and Fatoora transmission step requires connectivity to reach the compliance middleware — both queue and retry automatically once the connection is back, the same way a briefly unreachable middleware is already handled.</w:t>
      </w:r>
    </w:p>
    <w:p>
      <w:pPr>
        <w:pStyle w:val="ListParagraph"/>
        <w:numPr>
          <w:ilvl w:val="0"/>
          <w:numId w:val="1"/>
        </w:numPr>
        <w:spacing w:after="90"/>
      </w:pPr>
      <w:r>
        <w:rPr>
          <w:color w:val="222222"/>
          <w:sz w:val="22"/>
          <w:szCs w:val="22"/>
        </w:rPr>
        <w:t xml:space="preserve">Staff always see a clear, unmistakable indicator of whether the system is currently online or running on the local queue.</w:t>
      </w:r>
    </w:p>
    <w:p>
      <w:pPr>
        <w:pStyle w:val="ListParagraph"/>
        <w:numPr>
          <w:ilvl w:val="0"/>
          <w:numId w:val="1"/>
        </w:numPr>
        <w:spacing w:after="90"/>
      </w:pPr>
      <w:r>
        <w:rPr>
          <w:color w:val="222222"/>
          <w:sz w:val="22"/>
          <w:szCs w:val="22"/>
        </w:rPr>
        <w:t xml:space="preserve">No transaction is ever duplicated or lost as a result of a connectivity drop, at any counter.</w:t>
      </w:r>
    </w:p>
    <w:p>
      <w:pPr>
        <w:pStyle w:val="Heading2"/>
        <w:spacing w:after="140" w:before="320"/>
      </w:pPr>
      <w:r>
        <w:rPr>
          <w:b/>
          <w:bCs/>
          <w:color w:val="3B4A8C"/>
          <w:sz w:val="25"/>
          <w:szCs w:val="25"/>
        </w:rPr>
        <w:t xml:space="preserve">5.3 Technology stack</w:t>
      </w:r>
    </w:p>
    <w:tbl>
      <w:tblPr>
        <w:tblW w:type="dxa" w:w="9350"/>
        <w:tblBorders>
          <w:top w:val="single" w:color="C9CEDD" w:sz="4"/>
          <w:left w:val="single" w:color="C9CEDD" w:sz="4"/>
          <w:bottom w:val="single" w:color="C9CEDD" w:sz="4"/>
          <w:right w:val="single" w:color="C9CEDD" w:sz="4"/>
          <w:insideH w:val="single" w:color="C9CEDD" w:sz="4"/>
          <w:insideV w:val="single" w:color="C9CEDD" w:sz="4"/>
        </w:tblBorders>
      </w:tblPr>
      <w:tblGrid>
        <w:gridCol w:w="2900"/>
        <w:gridCol w:w="6450"/>
      </w:tblGrid>
      <w:tr>
        <w:trPr>
          <w:tblHeader/>
        </w:trPr>
        <w:tc>
          <w:tcPr>
            <w:tcW w:type="dxa" w:w="29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Layer</w:t>
            </w:r>
          </w:p>
        </w:tc>
        <w:tc>
          <w:tcPr>
            <w:tcW w:type="dxa" w:w="64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Technology</w:t>
            </w:r>
          </w:p>
        </w:tc>
      </w:tr>
      <w:tr>
        <w:trPr>
          <w:cantSplit/>
        </w:trPr>
        <w:tc>
          <w:tcPr>
            <w:tcW w:type="dxa" w:w="2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Backend framework</w:t>
            </w:r>
          </w:p>
        </w:tc>
        <w:tc>
          <w:tcPr>
            <w:tcW w:type="dxa" w:w="6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Django 5 + Django REST Framework + simplejwt</w:t>
            </w:r>
          </w:p>
        </w:tc>
      </w:tr>
      <w:tr>
        <w:trPr>
          <w:cantSplit/>
        </w:trPr>
        <w:tc>
          <w:tcPr>
            <w:tcW w:type="dxa" w:w="2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Database (cloud)</w:t>
            </w:r>
          </w:p>
        </w:tc>
        <w:tc>
          <w:tcPr>
            <w:tcW w:type="dxa" w:w="64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PostgreSQL</w:t>
            </w:r>
          </w:p>
        </w:tc>
      </w:tr>
      <w:tr>
        <w:trPr>
          <w:cantSplit/>
        </w:trPr>
        <w:tc>
          <w:tcPr>
            <w:tcW w:type="dxa" w:w="2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Local store (offline mode)</w:t>
            </w:r>
          </w:p>
        </w:tc>
        <w:tc>
          <w:tcPr>
            <w:tcW w:type="dxa" w:w="6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SQLite, synchronized against PostgreSQL via an append-only, idempotent event queue</w:t>
            </w:r>
          </w:p>
        </w:tc>
      </w:tr>
      <w:tr>
        <w:trPr>
          <w:cantSplit/>
        </w:trPr>
        <w:tc>
          <w:tcPr>
            <w:tcW w:type="dxa" w:w="2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Real-time layer</w:t>
            </w:r>
          </w:p>
        </w:tc>
        <w:tc>
          <w:tcPr>
            <w:tcW w:type="dxa" w:w="64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Django Channels (or scoped polling via TanStack Query if timeline requires a lighter first cut)</w:t>
            </w:r>
          </w:p>
        </w:tc>
      </w:tr>
      <w:tr>
        <w:trPr>
          <w:cantSplit/>
        </w:trPr>
        <w:tc>
          <w:tcPr>
            <w:tcW w:type="dxa" w:w="2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Offline client shell</w:t>
            </w:r>
          </w:p>
        </w:tc>
        <w:tc>
          <w:tcPr>
            <w:tcW w:type="dxa" w:w="6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Tauri, reactivated from the existing codebase as the offline-capable counter client</w:t>
            </w:r>
          </w:p>
        </w:tc>
      </w:tr>
      <w:tr>
        <w:trPr>
          <w:cantSplit/>
        </w:trPr>
        <w:tc>
          <w:tcPr>
            <w:tcW w:type="dxa" w:w="2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Frontend (staff apps)</w:t>
            </w:r>
          </w:p>
        </w:tc>
        <w:tc>
          <w:tcPr>
            <w:tcW w:type="dxa" w:w="64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React 18 + Vite + TypeScript + Tailwind CSS + shadcn/ui</w:t>
            </w:r>
          </w:p>
        </w:tc>
      </w:tr>
      <w:tr>
        <w:trPr>
          <w:cantSplit/>
        </w:trPr>
        <w:tc>
          <w:tcPr>
            <w:tcW w:type="dxa" w:w="2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Frontend (guest QR ordering)</w:t>
            </w:r>
          </w:p>
        </w:tc>
        <w:tc>
          <w:tcPr>
            <w:tcW w:type="dxa" w:w="6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Lightweight React/Next.js mobile-first web app</w:t>
            </w:r>
          </w:p>
        </w:tc>
      </w:tr>
      <w:tr>
        <w:trPr>
          <w:cantSplit/>
        </w:trPr>
        <w:tc>
          <w:tcPr>
            <w:tcW w:type="dxa" w:w="2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Server state / UI state</w:t>
            </w:r>
          </w:p>
        </w:tc>
        <w:tc>
          <w:tcPr>
            <w:tcW w:type="dxa" w:w="64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TanStack Query + Zustand</w:t>
            </w:r>
          </w:p>
        </w:tc>
      </w:tr>
      <w:tr>
        <w:trPr>
          <w:cantSplit/>
        </w:trPr>
        <w:tc>
          <w:tcPr>
            <w:tcW w:type="dxa" w:w="2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Forms &amp; validation</w:t>
            </w:r>
          </w:p>
        </w:tc>
        <w:tc>
          <w:tcPr>
            <w:tcW w:type="dxa" w:w="6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react-hook-form + zod</w:t>
            </w:r>
          </w:p>
        </w:tc>
      </w:tr>
      <w:tr>
        <w:trPr>
          <w:cantSplit/>
        </w:trPr>
        <w:tc>
          <w:tcPr>
            <w:tcW w:type="dxa" w:w="2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WhatsApp concierge agent</w:t>
            </w:r>
          </w:p>
        </w:tc>
        <w:tc>
          <w:tcPr>
            <w:tcW w:type="dxa" w:w="64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LangGraph, via a WhatsApp Business Solution Provider (BSP)</w:t>
            </w:r>
          </w:p>
        </w:tc>
      </w:tr>
      <w:tr>
        <w:trPr>
          <w:cantSplit/>
        </w:trPr>
        <w:tc>
          <w:tcPr>
            <w:tcW w:type="dxa" w:w="2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Receipts</w:t>
            </w:r>
          </w:p>
        </w:tc>
        <w:tc>
          <w:tcPr>
            <w:tcW w:type="dxa" w:w="6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ReportLab (PDF) + python-escpos (thermal), extended for bilingual and ZATCA content</w:t>
            </w:r>
          </w:p>
        </w:tc>
      </w:tr>
      <w:tr>
        <w:trPr>
          <w:cantSplit/>
        </w:trPr>
        <w:tc>
          <w:tcPr>
            <w:tcW w:type="dxa" w:w="2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ZATCA e-invoicing</w:t>
            </w:r>
          </w:p>
        </w:tc>
        <w:tc>
          <w:tcPr>
            <w:tcW w:type="dxa" w:w="64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Compliant e-invoicing middleware/API (vendor to be selected in Week 1)</w:t>
            </w:r>
          </w:p>
        </w:tc>
      </w:tr>
      <w:tr>
        <w:trPr>
          <w:cantSplit/>
        </w:trPr>
        <w:tc>
          <w:tcPr>
            <w:tcW w:type="dxa" w:w="2900"/>
            <w:tcMar>
              <w:top w:type="dxa" w:w="90"/>
              <w:left w:type="dxa" w:w="110"/>
              <w:bottom w:type="dxa" w:w="90"/>
              <w:right w:type="dxa" w:w="110"/>
            </w:tcMar>
            <w:vAlign w:val="top"/>
          </w:tcPr>
          <w:p>
            <w:pPr>
              <w:jc w:val="left"/>
            </w:pPr>
            <w:r>
              <w:rPr>
                <w:b w:val="false"/>
                <w:bCs w:val="false"/>
                <w:i w:val="false"/>
                <w:iCs w:val="false"/>
                <w:color w:val="222222"/>
                <w:sz w:val="20"/>
                <w:szCs w:val="20"/>
              </w:rPr>
              <w:t xml:space="preserve">Hosting</w:t>
            </w:r>
          </w:p>
        </w:tc>
        <w:tc>
          <w:tcPr>
            <w:tcW w:type="dxa" w:w="6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Cloud provider with a Saudi-compliant region option for the invoice archive; managed Postgres</w:t>
            </w:r>
          </w:p>
        </w:tc>
      </w:tr>
      <w:tr>
        <w:trPr>
          <w:cantSplit/>
        </w:trPr>
        <w:tc>
          <w:tcPr>
            <w:tcW w:type="dxa" w:w="29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CI/CD</w:t>
            </w:r>
          </w:p>
        </w:tc>
        <w:tc>
          <w:tcPr>
            <w:tcW w:type="dxa" w:w="64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GitHub Actions</w:t>
            </w:r>
          </w:p>
        </w:tc>
      </w:tr>
    </w:tbl>
    <w:p>
      <w:pPr>
        <w:pStyle w:val="Heading1"/>
        <w:pBdr>
          <w:bottom w:val="single" w:color="C9CEDD" w:sz="6" w:space="4"/>
        </w:pBdr>
        <w:spacing w:after="200" w:before="420"/>
      </w:pPr>
      <w:r>
        <w:rPr>
          <w:b/>
          <w:bCs/>
          <w:color w:val="1F2A5C"/>
          <w:sz w:val="30"/>
          <w:szCs w:val="30"/>
        </w:rPr>
        <w:t xml:space="preserve">6. Functional Modules &amp; Workflows</w:t>
      </w:r>
    </w:p>
    <w:p>
      <w:pPr>
        <w:pStyle w:val="Heading2"/>
        <w:spacing w:after="140" w:before="320"/>
      </w:pPr>
      <w:r>
        <w:rPr>
          <w:b/>
          <w:bCs/>
          <w:color w:val="3B4A8C"/>
          <w:sz w:val="25"/>
          <w:szCs w:val="25"/>
        </w:rPr>
        <w:t xml:space="preserve">6.1 Table &amp; Reservation Management</w:t>
      </w:r>
    </w:p>
    <w:p>
      <w:pPr>
        <w:spacing w:after="160"/>
      </w:pPr>
      <w:r>
        <w:rPr>
          <w:b w:val="false"/>
          <w:bCs w:val="false"/>
          <w:i w:val="false"/>
          <w:iCs w:val="false"/>
          <w:color w:val="222222"/>
          <w:sz w:val="22"/>
          <w:szCs w:val="22"/>
        </w:rPr>
        <w:t xml:space="preserve">Gives the host a live view of the floor and lets reservations — from WhatsApp or walk-ins — be held against real tables.</w:t>
      </w:r>
    </w:p>
    <w:p>
      <w:pPr>
        <w:pStyle w:val="Heading3"/>
        <w:spacing w:after="100" w:before="220"/>
      </w:pPr>
      <w:r>
        <w:rPr>
          <w:b/>
          <w:bCs/>
          <w:i w:val="false"/>
          <w:iCs w:val="false"/>
          <w:color w:val="222222"/>
          <w:sz w:val="22"/>
          <w:szCs w:val="22"/>
        </w:rPr>
        <w:t xml:space="preserve">Workflow</w:t>
      </w:r>
    </w:p>
    <w:p>
      <w:pPr>
        <w:pStyle w:val="ListParagraph"/>
        <w:numPr>
          <w:ilvl w:val="0"/>
          <w:numId w:val="1"/>
        </w:numPr>
        <w:spacing w:after="90"/>
      </w:pPr>
      <w:r>
        <w:rPr>
          <w:color w:val="222222"/>
          <w:sz w:val="22"/>
          <w:szCs w:val="22"/>
        </w:rPr>
        <w:t xml:space="preserve">Host or the WhatsApp concierge creates a reservation with a party size, time, and optional notes (e.g. dietary restrictions).</w:t>
      </w:r>
    </w:p>
    <w:p>
      <w:pPr>
        <w:pStyle w:val="ListParagraph"/>
        <w:numPr>
          <w:ilvl w:val="0"/>
          <w:numId w:val="1"/>
        </w:numPr>
        <w:spacing w:after="90"/>
      </w:pPr>
      <w:r>
        <w:rPr>
          <w:color w:val="222222"/>
          <w:sz w:val="22"/>
          <w:szCs w:val="22"/>
        </w:rPr>
        <w:t xml:space="preserve">The reservation is held against a specific table or table type; the floor map reflects the hold.</w:t>
      </w:r>
    </w:p>
    <w:p>
      <w:pPr>
        <w:pStyle w:val="ListParagraph"/>
        <w:numPr>
          <w:ilvl w:val="0"/>
          <w:numId w:val="1"/>
        </w:numPr>
        <w:spacing w:after="90"/>
      </w:pPr>
      <w:r>
        <w:rPr>
          <w:color w:val="222222"/>
          <w:sz w:val="22"/>
          <w:szCs w:val="22"/>
        </w:rPr>
        <w:t xml:space="preserve">On arrival, the host seats the party, moving the table to Occupied and linking the reservation to a new Order.</w:t>
      </w:r>
    </w:p>
    <w:p>
      <w:pPr>
        <w:pStyle w:val="ListParagraph"/>
        <w:numPr>
          <w:ilvl w:val="0"/>
          <w:numId w:val="1"/>
        </w:numPr>
        <w:spacing w:after="90"/>
      </w:pPr>
      <w:r>
        <w:rPr>
          <w:color w:val="222222"/>
          <w:sz w:val="22"/>
          <w:szCs w:val="22"/>
        </w:rPr>
        <w:t xml:space="preserve">Table status updates automatically as the order progresses and again once billed and cleared (Needs Cleaning → Available). A table can also be marked Blocked (e.g. for maintenance or a private booking) independent of the order flow.</w:t>
      </w:r>
    </w:p>
    <w:p>
      <w:pPr>
        <w:pStyle w:val="Heading3"/>
        <w:spacing w:after="100" w:before="220"/>
      </w:pPr>
      <w:r>
        <w:rPr>
          <w:b/>
          <w:bCs/>
          <w:i w:val="false"/>
          <w:iCs w:val="false"/>
          <w:color w:val="222222"/>
          <w:sz w:val="22"/>
          <w:szCs w:val="22"/>
        </w:rPr>
        <w:t xml:space="preserve">Acceptance criteria</w:t>
      </w:r>
    </w:p>
    <w:p>
      <w:pPr>
        <w:pStyle w:val="ListParagraph"/>
        <w:numPr>
          <w:ilvl w:val="0"/>
          <w:numId w:val="1"/>
        </w:numPr>
        <w:spacing w:after="90"/>
      </w:pPr>
      <w:r>
        <w:rPr>
          <w:color w:val="222222"/>
          <w:sz w:val="22"/>
          <w:szCs w:val="22"/>
        </w:rPr>
        <w:t xml:space="preserve">Two staff members viewing the floor map simultaneously always see the same table statuses within 2 seconds of a change, online or on the local queue.</w:t>
      </w:r>
    </w:p>
    <w:p>
      <w:pPr>
        <w:pStyle w:val="ListParagraph"/>
        <w:numPr>
          <w:ilvl w:val="0"/>
          <w:numId w:val="1"/>
        </w:numPr>
        <w:spacing w:after="90"/>
      </w:pPr>
      <w:r>
        <w:rPr>
          <w:color w:val="222222"/>
          <w:sz w:val="22"/>
          <w:szCs w:val="22"/>
        </w:rPr>
        <w:t xml:space="preserve">A table cannot be double-booked for an overlapping time window.</w:t>
      </w:r>
    </w:p>
    <w:p>
      <w:pPr>
        <w:pStyle w:val="ListParagraph"/>
        <w:numPr>
          <w:ilvl w:val="0"/>
          <w:numId w:val="1"/>
        </w:numPr>
        <w:spacing w:after="90"/>
      </w:pPr>
      <w:r>
        <w:rPr>
          <w:color w:val="222222"/>
          <w:sz w:val="22"/>
          <w:szCs w:val="22"/>
        </w:rPr>
        <w:t xml:space="preserve">Reservation notes made via WhatsApp are visible to host and kitchen staff without re-entry.</w:t>
      </w:r>
    </w:p>
    <w:p>
      <w:pPr>
        <w:pStyle w:val="Heading2"/>
        <w:spacing w:after="140" w:before="320"/>
      </w:pPr>
      <w:r>
        <w:rPr>
          <w:b/>
          <w:bCs/>
          <w:color w:val="3B4A8C"/>
          <w:sz w:val="25"/>
          <w:szCs w:val="25"/>
        </w:rPr>
        <w:t xml:space="preserve">6.2 Digital Menu (QR Ordering)</w:t>
      </w:r>
    </w:p>
    <w:p>
      <w:pPr>
        <w:spacing w:after="160"/>
      </w:pPr>
      <w:r>
        <w:rPr>
          <w:b w:val="false"/>
          <w:bCs w:val="false"/>
          <w:i w:val="false"/>
          <w:iCs w:val="false"/>
          <w:color w:val="222222"/>
          <w:sz w:val="22"/>
          <w:szCs w:val="22"/>
        </w:rPr>
        <w:t xml:space="preserve">The guest-facing ordering surface, reached by scanning a table-specific QR code — no app download required.</w:t>
      </w:r>
    </w:p>
    <w:p>
      <w:pPr>
        <w:pStyle w:val="Heading3"/>
        <w:spacing w:after="100" w:before="220"/>
      </w:pPr>
      <w:r>
        <w:rPr>
          <w:b/>
          <w:bCs/>
          <w:i w:val="false"/>
          <w:iCs w:val="false"/>
          <w:color w:val="222222"/>
          <w:sz w:val="22"/>
          <w:szCs w:val="22"/>
        </w:rPr>
        <w:t xml:space="preserve">Workflow</w:t>
      </w:r>
    </w:p>
    <w:p>
      <w:pPr>
        <w:pStyle w:val="ListParagraph"/>
        <w:numPr>
          <w:ilvl w:val="0"/>
          <w:numId w:val="1"/>
        </w:numPr>
        <w:spacing w:after="90"/>
      </w:pPr>
      <w:r>
        <w:rPr>
          <w:color w:val="222222"/>
          <w:sz w:val="22"/>
          <w:szCs w:val="22"/>
        </w:rPr>
        <w:t xml:space="preserve">Guest scans the QR code printed at their table, opening the menu scoped to that table.</w:t>
      </w:r>
    </w:p>
    <w:p>
      <w:pPr>
        <w:pStyle w:val="ListParagraph"/>
        <w:numPr>
          <w:ilvl w:val="0"/>
          <w:numId w:val="1"/>
        </w:numPr>
        <w:spacing w:after="90"/>
      </w:pPr>
      <w:r>
        <w:rPr>
          <w:color w:val="222222"/>
          <w:sz w:val="22"/>
          <w:szCs w:val="22"/>
        </w:rPr>
        <w:t xml:space="preserve">Guest browses categories, selects items and modifiers, and builds a cart.</w:t>
      </w:r>
    </w:p>
    <w:p>
      <w:pPr>
        <w:pStyle w:val="ListParagraph"/>
        <w:numPr>
          <w:ilvl w:val="0"/>
          <w:numId w:val="1"/>
        </w:numPr>
        <w:spacing w:after="90"/>
      </w:pPr>
      <w:r>
        <w:rPr>
          <w:color w:val="222222"/>
          <w:sz w:val="22"/>
          <w:szCs w:val="22"/>
        </w:rPr>
        <w:t xml:space="preserve">Guest submits the order; it appears immediately at the order-confirmation counter, tagged with the table number and order source (QR).</w:t>
      </w:r>
    </w:p>
    <w:p>
      <w:pPr>
        <w:pStyle w:val="ListParagraph"/>
        <w:numPr>
          <w:ilvl w:val="0"/>
          <w:numId w:val="1"/>
        </w:numPr>
        <w:spacing w:after="90"/>
      </w:pPr>
      <w:r>
        <w:rPr>
          <w:color w:val="222222"/>
          <w:sz w:val="22"/>
          <w:szCs w:val="22"/>
        </w:rPr>
        <w:t xml:space="preserve">Staff may also key an order manually on behalf of a guest who prefers not to use their phone; this uses the same order pipeline.</w:t>
      </w:r>
    </w:p>
    <w:p>
      <w:pPr>
        <w:pStyle w:val="Heading3"/>
        <w:spacing w:after="100" w:before="220"/>
      </w:pPr>
      <w:r>
        <w:rPr>
          <w:b/>
          <w:bCs/>
          <w:i w:val="false"/>
          <w:iCs w:val="false"/>
          <w:color w:val="222222"/>
          <w:sz w:val="22"/>
          <w:szCs w:val="22"/>
        </w:rPr>
        <w:t xml:space="preserve">Acceptance criteria</w:t>
      </w:r>
    </w:p>
    <w:p>
      <w:pPr>
        <w:pStyle w:val="ListParagraph"/>
        <w:numPr>
          <w:ilvl w:val="0"/>
          <w:numId w:val="1"/>
        </w:numPr>
        <w:spacing w:after="90"/>
      </w:pPr>
      <w:r>
        <w:rPr>
          <w:color w:val="222222"/>
          <w:sz w:val="22"/>
          <w:szCs w:val="22"/>
        </w:rPr>
        <w:t xml:space="preserve">An item marked unavailable ('86'd') by the kitchen disappears from the guest menu within 5 seconds across all active sessions.</w:t>
      </w:r>
    </w:p>
    <w:p>
      <w:pPr>
        <w:pStyle w:val="ListParagraph"/>
        <w:numPr>
          <w:ilvl w:val="0"/>
          <w:numId w:val="1"/>
        </w:numPr>
        <w:spacing w:after="90"/>
      </w:pPr>
      <w:r>
        <w:rPr>
          <w:color w:val="222222"/>
          <w:sz w:val="22"/>
          <w:szCs w:val="22"/>
        </w:rPr>
        <w:t xml:space="preserve">Orders submitted via QR are indistinguishable in downstream processing from staff-entered or delivery orders, aside from the source tag.</w:t>
      </w:r>
    </w:p>
    <w:p>
      <w:pPr>
        <w:pStyle w:val="ListParagraph"/>
        <w:numPr>
          <w:ilvl w:val="0"/>
          <w:numId w:val="1"/>
        </w:numPr>
        <w:spacing w:after="90"/>
      </w:pPr>
      <w:r>
        <w:rPr>
          <w:color w:val="222222"/>
          <w:sz w:val="22"/>
          <w:szCs w:val="22"/>
        </w:rPr>
        <w:t xml:space="preserve">The guest menu loads and is usable on a standard mobile browser with no login.</w:t>
      </w:r>
    </w:p>
    <w:p>
      <w:pPr>
        <w:pStyle w:val="Heading2"/>
        <w:spacing w:after="140" w:before="320"/>
      </w:pPr>
      <w:r>
        <w:rPr>
          <w:b/>
          <w:bCs/>
          <w:color w:val="3B4A8C"/>
          <w:sz w:val="25"/>
          <w:szCs w:val="25"/>
        </w:rPr>
        <w:t xml:space="preserve">6.3 Order-Confirmation Counter</w:t>
      </w:r>
    </w:p>
    <w:p>
      <w:pPr>
        <w:spacing w:after="160"/>
      </w:pPr>
      <w:r>
        <w:rPr>
          <w:b w:val="false"/>
          <w:bCs w:val="false"/>
          <w:i w:val="false"/>
          <w:iCs w:val="false"/>
          <w:color w:val="222222"/>
          <w:sz w:val="22"/>
          <w:szCs w:val="22"/>
        </w:rPr>
        <w:t xml:space="preserve">The shared queue where every order — QR, WhatsApp, delivery, or staff-entered — is confirmed and tracked through preparation.</w:t>
      </w:r>
    </w:p>
    <w:p>
      <w:pPr>
        <w:pStyle w:val="Heading3"/>
        <w:spacing w:after="100" w:before="220"/>
      </w:pPr>
      <w:r>
        <w:rPr>
          <w:b/>
          <w:bCs/>
          <w:i w:val="false"/>
          <w:iCs w:val="false"/>
          <w:color w:val="222222"/>
          <w:sz w:val="22"/>
          <w:szCs w:val="22"/>
        </w:rPr>
        <w:t xml:space="preserve">Workflow</w:t>
      </w:r>
    </w:p>
    <w:p>
      <w:pPr>
        <w:pStyle w:val="ListParagraph"/>
        <w:numPr>
          <w:ilvl w:val="0"/>
          <w:numId w:val="1"/>
        </w:numPr>
        <w:spacing w:after="90"/>
      </w:pPr>
      <w:r>
        <w:rPr>
          <w:color w:val="222222"/>
          <w:sz w:val="22"/>
          <w:szCs w:val="22"/>
        </w:rPr>
        <w:t xml:space="preserve">New orders land in a New column, showing table number (or delivery address), items, modifiers, and source.</w:t>
      </w:r>
    </w:p>
    <w:p>
      <w:pPr>
        <w:pStyle w:val="ListParagraph"/>
        <w:numPr>
          <w:ilvl w:val="0"/>
          <w:numId w:val="1"/>
        </w:numPr>
        <w:spacing w:after="90"/>
      </w:pPr>
      <w:r>
        <w:rPr>
          <w:color w:val="222222"/>
          <w:sz w:val="22"/>
          <w:szCs w:val="22"/>
        </w:rPr>
        <w:t xml:space="preserve">Staff confirms the order, which becomes visible to the kitchen as Confirmed, then Preparing, then Ready, then Served (or, for delivery, Out for Delivery then Delivered).</w:t>
      </w:r>
    </w:p>
    <w:p>
      <w:pPr>
        <w:pStyle w:val="ListParagraph"/>
        <w:numPr>
          <w:ilvl w:val="0"/>
          <w:numId w:val="1"/>
        </w:numPr>
        <w:spacing w:after="90"/>
      </w:pPr>
      <w:r>
        <w:rPr>
          <w:color w:val="222222"/>
          <w:sz w:val="22"/>
          <w:szCs w:val="22"/>
        </w:rPr>
        <w:t xml:space="preserve">Each stage transition is timestamped, supporting service-time reporting later.</w:t>
      </w:r>
    </w:p>
    <w:p>
      <w:pPr>
        <w:pStyle w:val="Heading3"/>
        <w:spacing w:after="100" w:before="220"/>
      </w:pPr>
      <w:r>
        <w:rPr>
          <w:b/>
          <w:bCs/>
          <w:i w:val="false"/>
          <w:iCs w:val="false"/>
          <w:color w:val="222222"/>
          <w:sz w:val="22"/>
          <w:szCs w:val="22"/>
        </w:rPr>
        <w:t xml:space="preserve">Acceptance criteria</w:t>
      </w:r>
    </w:p>
    <w:p>
      <w:pPr>
        <w:pStyle w:val="ListParagraph"/>
        <w:numPr>
          <w:ilvl w:val="0"/>
          <w:numId w:val="1"/>
        </w:numPr>
        <w:spacing w:after="90"/>
      </w:pPr>
      <w:r>
        <w:rPr>
          <w:color w:val="222222"/>
          <w:sz w:val="22"/>
          <w:szCs w:val="22"/>
        </w:rPr>
        <w:t xml:space="preserve">An order cannot be marked Served/Delivered before Preparing/Ready — the lifecycle is enforced server-side, not just in the UI.</w:t>
      </w:r>
    </w:p>
    <w:p>
      <w:pPr>
        <w:pStyle w:val="ListParagraph"/>
        <w:numPr>
          <w:ilvl w:val="0"/>
          <w:numId w:val="1"/>
        </w:numPr>
        <w:spacing w:after="90"/>
      </w:pPr>
      <w:r>
        <w:rPr>
          <w:color w:val="222222"/>
          <w:sz w:val="22"/>
          <w:szCs w:val="22"/>
        </w:rPr>
        <w:t xml:space="preserve">Every counter viewing the queue reflects the same state without a manual page refresh, online or once reconnected from the local queue.</w:t>
      </w:r>
    </w:p>
    <w:p>
      <w:pPr>
        <w:pStyle w:val="Heading2"/>
        <w:spacing w:after="140" w:before="320"/>
      </w:pPr>
      <w:r>
        <w:rPr>
          <w:b/>
          <w:bCs/>
          <w:color w:val="3B4A8C"/>
          <w:sz w:val="25"/>
          <w:szCs w:val="25"/>
        </w:rPr>
        <w:t xml:space="preserve">6.4 Billing Counter</w:t>
      </w:r>
    </w:p>
    <w:p>
      <w:pPr>
        <w:spacing w:after="160"/>
      </w:pPr>
      <w:r>
        <w:rPr>
          <w:b w:val="false"/>
          <w:bCs w:val="false"/>
          <w:i w:val="false"/>
          <w:iCs w:val="false"/>
          <w:color w:val="222222"/>
          <w:sz w:val="22"/>
          <w:szCs w:val="22"/>
        </w:rPr>
        <w:t xml:space="preserve">Closes out an order into a payable, VAT-correct, ZATCA-compliant bill.</w:t>
      </w:r>
    </w:p>
    <w:p>
      <w:pPr>
        <w:pStyle w:val="Heading3"/>
        <w:spacing w:after="100" w:before="220"/>
      </w:pPr>
      <w:r>
        <w:rPr>
          <w:b/>
          <w:bCs/>
          <w:i w:val="false"/>
          <w:iCs w:val="false"/>
          <w:color w:val="222222"/>
          <w:sz w:val="22"/>
          <w:szCs w:val="22"/>
        </w:rPr>
        <w:t xml:space="preserve">Workflow</w:t>
      </w:r>
    </w:p>
    <w:p>
      <w:pPr>
        <w:pStyle w:val="ListParagraph"/>
        <w:numPr>
          <w:ilvl w:val="0"/>
          <w:numId w:val="1"/>
        </w:numPr>
        <w:spacing w:after="90"/>
      </w:pPr>
      <w:r>
        <w:rPr>
          <w:color w:val="222222"/>
          <w:sz w:val="22"/>
          <w:szCs w:val="22"/>
        </w:rPr>
        <w:t xml:space="preserve">Cashier pulls up the table's (or delivery order's) items; items and modifiers are itemized automatically from what was actually confirmed and served.</w:t>
      </w:r>
    </w:p>
    <w:p>
      <w:pPr>
        <w:pStyle w:val="ListParagraph"/>
        <w:numPr>
          <w:ilvl w:val="0"/>
          <w:numId w:val="1"/>
        </w:numPr>
        <w:spacing w:after="90"/>
      </w:pPr>
      <w:r>
        <w:rPr>
          <w:color w:val="222222"/>
          <w:sz w:val="22"/>
          <w:szCs w:val="22"/>
        </w:rPr>
        <w:t xml:space="preserve">Cashier can split or combine bills across guests at the same table, and record partial payments or deposits against a customer's running balance where applicable.</w:t>
      </w:r>
    </w:p>
    <w:p>
      <w:pPr>
        <w:pStyle w:val="ListParagraph"/>
        <w:numPr>
          <w:ilvl w:val="0"/>
          <w:numId w:val="1"/>
        </w:numPr>
        <w:spacing w:after="90"/>
      </w:pPr>
      <w:r>
        <w:rPr>
          <w:color w:val="222222"/>
          <w:sz w:val="22"/>
          <w:szCs w:val="22"/>
        </w:rPr>
        <w:t xml:space="preserve">System calculates VAT at 15% and the total, plus any delivery charge for the applicable zone; cashier records the payment method (cash, card, mada).</w:t>
      </w:r>
    </w:p>
    <w:p>
      <w:pPr>
        <w:pStyle w:val="ListParagraph"/>
        <w:numPr>
          <w:ilvl w:val="0"/>
          <w:numId w:val="1"/>
        </w:numPr>
        <w:spacing w:after="90"/>
      </w:pPr>
      <w:r>
        <w:rPr>
          <w:color w:val="222222"/>
          <w:sz w:val="22"/>
          <w:szCs w:val="22"/>
        </w:rPr>
        <w:t xml:space="preserve">On payment, the system issues a Simplified Tax Invoice: generates the invoice, requests the cryptographic stamp/QR from the ZATCA-compliant middleware, prints the bilingual receipt, and queues the 24-hour Fatoora report.</w:t>
      </w:r>
    </w:p>
    <w:p>
      <w:pPr>
        <w:pStyle w:val="ListParagraph"/>
        <w:numPr>
          <w:ilvl w:val="0"/>
          <w:numId w:val="1"/>
        </w:numPr>
        <w:spacing w:after="90"/>
      </w:pPr>
      <w:r>
        <w:rPr>
          <w:color w:val="222222"/>
          <w:sz w:val="22"/>
          <w:szCs w:val="22"/>
        </w:rPr>
        <w:t xml:space="preserve">The table is released for cleaning once billed.</w:t>
      </w:r>
    </w:p>
    <w:p>
      <w:pPr>
        <w:pStyle w:val="Heading3"/>
        <w:spacing w:after="100" w:before="220"/>
      </w:pPr>
      <w:r>
        <w:rPr>
          <w:b/>
          <w:bCs/>
          <w:i w:val="false"/>
          <w:iCs w:val="false"/>
          <w:color w:val="222222"/>
          <w:sz w:val="22"/>
          <w:szCs w:val="22"/>
        </w:rPr>
        <w:t xml:space="preserve">Acceptance criteria</w:t>
      </w:r>
    </w:p>
    <w:p>
      <w:pPr>
        <w:pStyle w:val="ListParagraph"/>
        <w:numPr>
          <w:ilvl w:val="0"/>
          <w:numId w:val="1"/>
        </w:numPr>
        <w:spacing w:after="90"/>
      </w:pPr>
      <w:r>
        <w:rPr>
          <w:color w:val="222222"/>
          <w:sz w:val="22"/>
          <w:szCs w:val="22"/>
        </w:rPr>
        <w:t xml:space="preserve">Every completed payment produces a Fatoora-reportable invoice record; none are silently skipped or lost on a network hiccup or an offline period (queued and retried).</w:t>
      </w:r>
    </w:p>
    <w:p>
      <w:pPr>
        <w:pStyle w:val="ListParagraph"/>
        <w:numPr>
          <w:ilvl w:val="0"/>
          <w:numId w:val="1"/>
        </w:numPr>
        <w:spacing w:after="90"/>
      </w:pPr>
      <w:r>
        <w:rPr>
          <w:color w:val="222222"/>
          <w:sz w:val="22"/>
          <w:szCs w:val="22"/>
        </w:rPr>
        <w:t xml:space="preserve">VAT calculation matches ZATCA rules exactly at the halala level — no rounding drift.</w:t>
      </w:r>
    </w:p>
    <w:p>
      <w:pPr>
        <w:pStyle w:val="ListParagraph"/>
        <w:numPr>
          <w:ilvl w:val="0"/>
          <w:numId w:val="1"/>
        </w:numPr>
        <w:spacing w:after="90"/>
      </w:pPr>
      <w:r>
        <w:rPr>
          <w:color w:val="222222"/>
          <w:sz w:val="22"/>
          <w:szCs w:val="22"/>
        </w:rPr>
        <w:t xml:space="preserve">A shift cannot be closed with an unreconciled cash variance without a manager override, consistent with existing shift-close behavior.</w:t>
      </w:r>
    </w:p>
    <w:p>
      <w:pPr>
        <w:pStyle w:val="Heading2"/>
        <w:spacing w:after="140" w:before="320"/>
      </w:pPr>
      <w:r>
        <w:rPr>
          <w:b/>
          <w:bCs/>
          <w:color w:val="3B4A8C"/>
          <w:sz w:val="25"/>
          <w:szCs w:val="25"/>
        </w:rPr>
        <w:t xml:space="preserve">6.5 WhatsApp AI Concierge</w:t>
      </w:r>
    </w:p>
    <w:p>
      <w:pPr>
        <w:spacing w:after="160"/>
      </w:pPr>
      <w:r>
        <w:rPr>
          <w:b w:val="false"/>
          <w:bCs w:val="false"/>
          <w:i w:val="false"/>
          <w:iCs w:val="false"/>
          <w:color w:val="222222"/>
          <w:sz w:val="22"/>
          <w:szCs w:val="22"/>
        </w:rPr>
        <w:t xml:space="preserve">A 24/7 conversational agent for reservations and guest questions, built as a LangGraph agent connected to the live reservation and menu data — not a static chatbot.</w:t>
      </w:r>
    </w:p>
    <w:p>
      <w:pPr>
        <w:pStyle w:val="Heading3"/>
        <w:spacing w:after="100" w:before="220"/>
      </w:pPr>
      <w:r>
        <w:rPr>
          <w:b/>
          <w:bCs/>
          <w:i w:val="false"/>
          <w:iCs w:val="false"/>
          <w:color w:val="222222"/>
          <w:sz w:val="22"/>
          <w:szCs w:val="22"/>
        </w:rPr>
        <w:t xml:space="preserve">Workflow</w:t>
      </w:r>
    </w:p>
    <w:p>
      <w:pPr>
        <w:pStyle w:val="ListParagraph"/>
        <w:numPr>
          <w:ilvl w:val="0"/>
          <w:numId w:val="1"/>
        </w:numPr>
        <w:spacing w:after="90"/>
      </w:pPr>
      <w:r>
        <w:rPr>
          <w:color w:val="222222"/>
          <w:sz w:val="22"/>
          <w:szCs w:val="22"/>
        </w:rPr>
        <w:t xml:space="preserve">Guest messages the restaurant's WhatsApp Business number with a question or booking request.</w:t>
      </w:r>
    </w:p>
    <w:p>
      <w:pPr>
        <w:pStyle w:val="ListParagraph"/>
        <w:numPr>
          <w:ilvl w:val="0"/>
          <w:numId w:val="1"/>
        </w:numPr>
        <w:spacing w:after="90"/>
      </w:pPr>
      <w:r>
        <w:rPr>
          <w:color w:val="222222"/>
          <w:sz w:val="22"/>
          <w:szCs w:val="22"/>
        </w:rPr>
        <w:t xml:space="preserve">The concierge checks live table availability, answers menu/hours/location questions from the actual current menu data, and can hold a reservation.</w:t>
      </w:r>
    </w:p>
    <w:p>
      <w:pPr>
        <w:pStyle w:val="ListParagraph"/>
        <w:numPr>
          <w:ilvl w:val="0"/>
          <w:numId w:val="1"/>
        </w:numPr>
        <w:spacing w:after="90"/>
      </w:pPr>
      <w:r>
        <w:rPr>
          <w:color w:val="222222"/>
          <w:sz w:val="22"/>
          <w:szCs w:val="22"/>
        </w:rPr>
        <w:t xml:space="preserve">Any message touching allergies, complaints, large-party exceptions, or anything outside the agent's defined confidence is handed off to a staff member automatically, with the conversation context preserved.</w:t>
      </w:r>
    </w:p>
    <w:p>
      <w:pPr>
        <w:pStyle w:val="ListParagraph"/>
        <w:numPr>
          <w:ilvl w:val="0"/>
          <w:numId w:val="1"/>
        </w:numPr>
        <w:spacing w:after="90"/>
      </w:pPr>
      <w:r>
        <w:rPr>
          <w:color w:val="222222"/>
          <w:sz w:val="22"/>
          <w:szCs w:val="22"/>
        </w:rPr>
        <w:t xml:space="preserve">A reminder message is sent ahead of the reservation time to reduce no-shows.</w:t>
      </w:r>
    </w:p>
    <w:p>
      <w:pPr>
        <w:pStyle w:val="Heading3"/>
        <w:spacing w:after="100" w:before="220"/>
      </w:pPr>
      <w:r>
        <w:rPr>
          <w:b/>
          <w:bCs/>
          <w:i w:val="false"/>
          <w:iCs w:val="false"/>
          <w:color w:val="222222"/>
          <w:sz w:val="22"/>
          <w:szCs w:val="22"/>
        </w:rPr>
        <w:t xml:space="preserve">Acceptance criteria</w:t>
      </w:r>
    </w:p>
    <w:p>
      <w:pPr>
        <w:pStyle w:val="ListParagraph"/>
        <w:numPr>
          <w:ilvl w:val="0"/>
          <w:numId w:val="1"/>
        </w:numPr>
        <w:spacing w:after="90"/>
      </w:pPr>
      <w:r>
        <w:rPr>
          <w:color w:val="222222"/>
          <w:sz w:val="22"/>
          <w:szCs w:val="22"/>
        </w:rPr>
        <w:t xml:space="preserve">100% of allergy-related questions are escalated to a human — this is a hard rule in the agent's design, not a best-effort behavior.</w:t>
      </w:r>
    </w:p>
    <w:p>
      <w:pPr>
        <w:pStyle w:val="ListParagraph"/>
        <w:numPr>
          <w:ilvl w:val="0"/>
          <w:numId w:val="1"/>
        </w:numPr>
        <w:spacing w:after="90"/>
      </w:pPr>
      <w:r>
        <w:rPr>
          <w:color w:val="222222"/>
          <w:sz w:val="22"/>
          <w:szCs w:val="22"/>
        </w:rPr>
        <w:t xml:space="preserve">A reservation booked via WhatsApp appears on the host's floor map with no manual re-entry.</w:t>
      </w:r>
    </w:p>
    <w:p>
      <w:pPr>
        <w:pStyle w:val="ListParagraph"/>
        <w:numPr>
          <w:ilvl w:val="0"/>
          <w:numId w:val="1"/>
        </w:numPr>
        <w:spacing w:after="90"/>
      </w:pPr>
      <w:r>
        <w:rPr>
          <w:color w:val="222222"/>
          <w:sz w:val="22"/>
          <w:szCs w:val="22"/>
        </w:rPr>
        <w:t xml:space="preserve">Messaging is fully compliant with WhatsApp Business Platform opt-in and session-window rules.</w:t>
      </w:r>
    </w:p>
    <w:p>
      <w:pPr>
        <w:pStyle w:val="Heading2"/>
        <w:spacing w:after="140" w:before="320"/>
      </w:pPr>
      <w:r>
        <w:rPr>
          <w:b/>
          <w:bCs/>
          <w:color w:val="3B4A8C"/>
          <w:sz w:val="25"/>
          <w:szCs w:val="25"/>
        </w:rPr>
        <w:t xml:space="preserve">6.6 Delivery Orders (Basic)</w:t>
      </w:r>
    </w:p>
    <w:tbl>
      <w:tblPr>
        <w:tblW w:type="dxa" w:w="9350"/>
        <w:tblBorders>
          <w:top w:val="single" w:color="1E6B34" w:sz="4"/>
          <w:left w:val="single" w:color="1E6B34" w:sz="16"/>
          <w:bottom w:val="single" w:color="1E6B34" w:sz="4"/>
          <w:right w:val="single" w:color="1E6B34" w:sz="4"/>
          <w:insideH w:val="none" w:color="FFFFFF" w:sz="0"/>
          <w:insideV w:val="none" w:color="FFFFFF" w:sz="0"/>
        </w:tblBorders>
      </w:tblPr>
      <w:tblGrid>
        <w:gridCol w:w="9350"/>
      </w:tblGrid>
      <w:tr>
        <w:tc>
          <w:tcPr>
            <w:tcW w:type="dxa" w:w="9350"/>
            <w:shd w:fill="E5F3E8" w:val="clear"/>
            <w:tcMar>
              <w:top w:type="dxa" w:w="140"/>
              <w:left w:type="dxa" w:w="180"/>
              <w:bottom w:type="dxa" w:w="140"/>
              <w:right w:type="dxa" w:w="180"/>
            </w:tcMar>
          </w:tcPr>
          <w:p>
            <w:pPr>
              <w:spacing w:after="60"/>
            </w:pPr>
            <w:r>
              <w:rPr>
                <w:b/>
                <w:bCs/>
                <w:color w:val="1E6B34"/>
                <w:sz w:val="19"/>
                <w:szCs w:val="19"/>
              </w:rPr>
              <w:t xml:space="preserve">New in v2.0</w:t>
            </w:r>
          </w:p>
          <w:p>
            <w:pPr>
              <w:spacing w:after="0"/>
            </w:pPr>
            <w:r>
              <w:rPr>
                <w:color w:val="222222"/>
                <w:sz w:val="21"/>
                <w:szCs w:val="21"/>
              </w:rPr>
              <w:t xml:space="preserve">Added by team decision after reviewing the client's requirements checklist. Deliberately bounded — see the exclusions below.</w:t>
            </w:r>
          </w:p>
        </w:tc>
      </w:tr>
    </w:tbl>
    <w:p>
      <w:pPr>
        <w:spacing w:after="160"/>
      </w:pPr>
      <w:r>
        <w:rPr>
          <w:b w:val="false"/>
          <w:bCs w:val="false"/>
          <w:i w:val="false"/>
          <w:iCs w:val="false"/>
          <w:color w:val="222222"/>
          <w:sz w:val="22"/>
          <w:szCs w:val="22"/>
        </w:rPr>
        <w:t xml:space="preserve">Delivery as a fourth order type, alongside dine-in, takeaway, and pickup, using the same order-lifecycle domain and reporting as everything else in this document.</w:t>
      </w:r>
    </w:p>
    <w:p>
      <w:pPr>
        <w:pStyle w:val="Heading3"/>
        <w:spacing w:after="100" w:before="220"/>
      </w:pPr>
      <w:r>
        <w:rPr>
          <w:b/>
          <w:bCs/>
          <w:i w:val="false"/>
          <w:iCs w:val="false"/>
          <w:color w:val="222222"/>
          <w:sz w:val="22"/>
          <w:szCs w:val="22"/>
        </w:rPr>
        <w:t xml:space="preserve">Workflow</w:t>
      </w:r>
    </w:p>
    <w:p>
      <w:pPr>
        <w:pStyle w:val="ListParagraph"/>
        <w:numPr>
          <w:ilvl w:val="0"/>
          <w:numId w:val="1"/>
        </w:numPr>
        <w:spacing w:after="90"/>
      </w:pPr>
      <w:r>
        <w:rPr>
          <w:color w:val="222222"/>
          <w:sz w:val="22"/>
          <w:szCs w:val="22"/>
        </w:rPr>
        <w:t xml:space="preserve">Order is placed (by staff, or in a later phase directly by the guest) with a delivery address, captured and validated against the configured delivery zones.</w:t>
      </w:r>
    </w:p>
    <w:p>
      <w:pPr>
        <w:pStyle w:val="ListParagraph"/>
        <w:numPr>
          <w:ilvl w:val="0"/>
          <w:numId w:val="1"/>
        </w:numPr>
        <w:spacing w:after="90"/>
      </w:pPr>
      <w:r>
        <w:rPr>
          <w:color w:val="222222"/>
          <w:sz w:val="22"/>
          <w:szCs w:val="22"/>
        </w:rPr>
        <w:t xml:space="preserve">The applicable zone's delivery charge is applied automatically to the bill.</w:t>
      </w:r>
    </w:p>
    <w:p>
      <w:pPr>
        <w:pStyle w:val="ListParagraph"/>
        <w:numPr>
          <w:ilvl w:val="0"/>
          <w:numId w:val="1"/>
        </w:numPr>
        <w:spacing w:after="90"/>
      </w:pPr>
      <w:r>
        <w:rPr>
          <w:color w:val="222222"/>
          <w:sz w:val="22"/>
          <w:szCs w:val="22"/>
        </w:rPr>
        <w:t xml:space="preserve">The order enters the same order-confirmation and kitchen queue as dine-in orders, tagged with source “delivery.”</w:t>
      </w:r>
    </w:p>
    <w:p>
      <w:pPr>
        <w:pStyle w:val="ListParagraph"/>
        <w:numPr>
          <w:ilvl w:val="0"/>
          <w:numId w:val="1"/>
        </w:numPr>
        <w:spacing w:after="90"/>
      </w:pPr>
      <w:r>
        <w:rPr>
          <w:color w:val="222222"/>
          <w:sz w:val="22"/>
          <w:szCs w:val="22"/>
        </w:rPr>
        <w:t xml:space="preserve">Once prepared, staff mark the order Out for Delivery, then Delivered, from the order-confirmation counter.</w:t>
      </w:r>
    </w:p>
    <w:p>
      <w:pPr>
        <w:pStyle w:val="Heading3"/>
        <w:spacing w:after="100" w:before="220"/>
      </w:pPr>
      <w:r>
        <w:rPr>
          <w:b/>
          <w:bCs/>
          <w:i w:val="false"/>
          <w:iCs w:val="false"/>
          <w:color w:val="222222"/>
          <w:sz w:val="22"/>
          <w:szCs w:val="22"/>
        </w:rPr>
        <w:t xml:space="preserve">Acceptance criteria</w:t>
      </w:r>
    </w:p>
    <w:p>
      <w:pPr>
        <w:pStyle w:val="ListParagraph"/>
        <w:numPr>
          <w:ilvl w:val="0"/>
          <w:numId w:val="1"/>
        </w:numPr>
        <w:spacing w:after="90"/>
      </w:pPr>
      <w:r>
        <w:rPr>
          <w:color w:val="222222"/>
          <w:sz w:val="22"/>
          <w:szCs w:val="22"/>
        </w:rPr>
        <w:t xml:space="preserve">A delivery order's status, items, and billing are visible in exactly the same reports and dashboards as dine-in and takeaway orders.</w:t>
      </w:r>
    </w:p>
    <w:p>
      <w:pPr>
        <w:pStyle w:val="ListParagraph"/>
        <w:numPr>
          <w:ilvl w:val="0"/>
          <w:numId w:val="1"/>
        </w:numPr>
        <w:spacing w:after="90"/>
      </w:pPr>
      <w:r>
        <w:rPr>
          <w:color w:val="222222"/>
          <w:sz w:val="22"/>
          <w:szCs w:val="22"/>
        </w:rPr>
        <w:t xml:space="preserve">Delivery zone and charge configuration is owner/manager-editable without a code change.</w:t>
      </w:r>
    </w:p>
    <w:p>
      <w:pPr>
        <w:pStyle w:val="Heading3"/>
        <w:spacing w:after="100" w:before="220"/>
      </w:pPr>
      <w:r>
        <w:rPr>
          <w:b/>
          <w:bCs/>
          <w:i w:val="false"/>
          <w:iCs w:val="false"/>
          <w:color w:val="222222"/>
          <w:sz w:val="22"/>
          <w:szCs w:val="22"/>
        </w:rPr>
        <w:t xml:space="preserve">Explicitly out of scope for this phase</w:t>
      </w:r>
    </w:p>
    <w:p>
      <w:pPr>
        <w:pStyle w:val="ListParagraph"/>
        <w:numPr>
          <w:ilvl w:val="0"/>
          <w:numId w:val="1"/>
        </w:numPr>
        <w:spacing w:after="90"/>
      </w:pPr>
      <w:r>
        <w:rPr>
          <w:color w:val="222222"/>
          <w:sz w:val="22"/>
          <w:szCs w:val="22"/>
        </w:rPr>
        <w:t xml:space="preserve">Any third-party delivery-aggregator API integration — each platform is its own integration project; a Phase 2 conversation once the client confirms which platforms they use.</w:t>
      </w:r>
    </w:p>
    <w:p>
      <w:pPr>
        <w:pStyle w:val="ListParagraph"/>
        <w:numPr>
          <w:ilvl w:val="0"/>
          <w:numId w:val="1"/>
        </w:numPr>
        <w:spacing w:after="90"/>
      </w:pPr>
      <w:r>
        <w:rPr>
          <w:color w:val="222222"/>
          <w:sz w:val="22"/>
          <w:szCs w:val="22"/>
        </w:rPr>
        <w:t xml:space="preserve">Live driver GPS tracking, route optimization, or a dedicated driver-facing mobile app.</w:t>
      </w:r>
    </w:p>
    <w:p>
      <w:pPr>
        <w:pStyle w:val="Heading1"/>
        <w:pBdr>
          <w:bottom w:val="single" w:color="C9CEDD" w:sz="6" w:space="4"/>
        </w:pBdr>
        <w:spacing w:after="200" w:before="420"/>
      </w:pPr>
      <w:r>
        <w:rPr>
          <w:b/>
          <w:bCs/>
          <w:color w:val="1F2A5C"/>
          <w:sz w:val="30"/>
          <w:szCs w:val="30"/>
        </w:rPr>
        <w:t xml:space="preserve">7. Roles &amp; Permissions</w:t>
      </w:r>
    </w:p>
    <w:tbl>
      <w:tblPr>
        <w:tblW w:type="dxa" w:w="9350"/>
        <w:tblBorders>
          <w:top w:val="single" w:color="C9CEDD" w:sz="4"/>
          <w:left w:val="single" w:color="C9CEDD" w:sz="4"/>
          <w:bottom w:val="single" w:color="C9CEDD" w:sz="4"/>
          <w:right w:val="single" w:color="C9CEDD" w:sz="4"/>
          <w:insideH w:val="single" w:color="C9CEDD" w:sz="4"/>
          <w:insideV w:val="single" w:color="C9CEDD" w:sz="4"/>
        </w:tblBorders>
      </w:tblPr>
      <w:tblGrid>
        <w:gridCol w:w="2200"/>
        <w:gridCol w:w="7150"/>
      </w:tblGrid>
      <w:tr>
        <w:trPr>
          <w:tblHeader/>
        </w:trPr>
        <w:tc>
          <w:tcPr>
            <w:tcW w:type="dxa" w:w="22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Role</w:t>
            </w:r>
          </w:p>
        </w:tc>
        <w:tc>
          <w:tcPr>
            <w:tcW w:type="dxa" w:w="71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Can do</w:t>
            </w:r>
          </w:p>
        </w:tc>
      </w:tr>
      <w:tr>
        <w:trPr>
          <w:cantSplit/>
        </w:trPr>
        <w:tc>
          <w:tcPr>
            <w:tcW w:type="dxa" w:w="2200"/>
            <w:tcMar>
              <w:top w:type="dxa" w:w="90"/>
              <w:left w:type="dxa" w:w="110"/>
              <w:bottom w:type="dxa" w:w="90"/>
              <w:right w:type="dxa" w:w="110"/>
            </w:tcMar>
            <w:vAlign w:val="top"/>
          </w:tcPr>
          <w:p>
            <w:pPr>
              <w:jc w:val="left"/>
            </w:pPr>
            <w:r>
              <w:rPr>
                <w:b w:val="false"/>
                <w:bCs w:val="false"/>
                <w:i w:val="false"/>
                <w:iCs w:val="false"/>
                <w:color w:val="222222"/>
                <w:sz w:val="20"/>
                <w:szCs w:val="20"/>
              </w:rPr>
              <w:t xml:space="preserve">Owner</w:t>
            </w:r>
          </w:p>
        </w:tc>
        <w:tc>
          <w:tcPr>
            <w:tcW w:type="dxa" w:w="7150"/>
            <w:tcMar>
              <w:top w:type="dxa" w:w="90"/>
              <w:left w:type="dxa" w:w="110"/>
              <w:bottom w:type="dxa" w:w="90"/>
              <w:right w:type="dxa" w:w="110"/>
            </w:tcMar>
            <w:vAlign w:val="top"/>
          </w:tcPr>
          <w:p>
            <w:pPr>
              <w:jc w:val="left"/>
            </w:pPr>
            <w:r>
              <w:rPr>
                <w:b w:val="false"/>
                <w:bCs w:val="false"/>
                <w:i w:val="false"/>
                <w:iCs w:val="false"/>
                <w:color w:val="222222"/>
                <w:sz w:val="20"/>
                <w:szCs w:val="20"/>
              </w:rPr>
              <w:t xml:space="preserve">Full access: settings, reports, void sales, user management, ZATCA/compliance settings, delivery-zone configuration.</w:t>
            </w:r>
          </w:p>
        </w:tc>
      </w:tr>
      <w:tr>
        <w:trPr>
          <w:cantSplit/>
        </w:trPr>
        <w:tc>
          <w:tcPr>
            <w:tcW w:type="dxa" w:w="22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Manager</w:t>
            </w:r>
          </w:p>
        </w:tc>
        <w:tc>
          <w:tcPr>
            <w:tcW w:type="dxa" w:w="71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Void sales, update settings, override shift variance, approve refunds.</w:t>
            </w:r>
          </w:p>
        </w:tc>
      </w:tr>
      <w:tr>
        <w:trPr>
          <w:cantSplit/>
        </w:trPr>
        <w:tc>
          <w:tcPr>
            <w:tcW w:type="dxa" w:w="2200"/>
            <w:tcMar>
              <w:top w:type="dxa" w:w="90"/>
              <w:left w:type="dxa" w:w="110"/>
              <w:bottom w:type="dxa" w:w="90"/>
              <w:right w:type="dxa" w:w="110"/>
            </w:tcMar>
            <w:vAlign w:val="top"/>
          </w:tcPr>
          <w:p>
            <w:pPr>
              <w:jc w:val="left"/>
            </w:pPr>
            <w:r>
              <w:rPr>
                <w:b w:val="false"/>
                <w:bCs w:val="false"/>
                <w:i w:val="false"/>
                <w:iCs w:val="false"/>
                <w:color w:val="222222"/>
                <w:sz w:val="20"/>
                <w:szCs w:val="20"/>
              </w:rPr>
              <w:t xml:space="preserve">Host</w:t>
            </w:r>
          </w:p>
        </w:tc>
        <w:tc>
          <w:tcPr>
            <w:tcW w:type="dxa" w:w="7150"/>
            <w:tcMar>
              <w:top w:type="dxa" w:w="90"/>
              <w:left w:type="dxa" w:w="110"/>
              <w:bottom w:type="dxa" w:w="90"/>
              <w:right w:type="dxa" w:w="110"/>
            </w:tcMar>
            <w:vAlign w:val="top"/>
          </w:tcPr>
          <w:p>
            <w:pPr>
              <w:jc w:val="left"/>
            </w:pPr>
            <w:r>
              <w:rPr>
                <w:b w:val="false"/>
                <w:bCs w:val="false"/>
                <w:i w:val="false"/>
                <w:iCs w:val="false"/>
                <w:color w:val="222222"/>
                <w:sz w:val="20"/>
                <w:szCs w:val="20"/>
              </w:rPr>
              <w:t xml:space="preserve">Manage floor map, create/edit reservations, seat guests.</w:t>
            </w:r>
          </w:p>
        </w:tc>
      </w:tr>
      <w:tr>
        <w:trPr>
          <w:cantSplit/>
        </w:trPr>
        <w:tc>
          <w:tcPr>
            <w:tcW w:type="dxa" w:w="22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Waiter / order-taker</w:t>
            </w:r>
          </w:p>
        </w:tc>
        <w:tc>
          <w:tcPr>
            <w:tcW w:type="dxa" w:w="71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Create and edit orders manually, view floor map.</w:t>
            </w:r>
          </w:p>
        </w:tc>
      </w:tr>
      <w:tr>
        <w:trPr>
          <w:cantSplit/>
        </w:trPr>
        <w:tc>
          <w:tcPr>
            <w:tcW w:type="dxa" w:w="2200"/>
            <w:tcMar>
              <w:top w:type="dxa" w:w="90"/>
              <w:left w:type="dxa" w:w="110"/>
              <w:bottom w:type="dxa" w:w="90"/>
              <w:right w:type="dxa" w:w="110"/>
            </w:tcMar>
            <w:vAlign w:val="top"/>
          </w:tcPr>
          <w:p>
            <w:pPr>
              <w:jc w:val="left"/>
            </w:pPr>
            <w:r>
              <w:rPr>
                <w:b w:val="false"/>
                <w:bCs w:val="false"/>
                <w:i w:val="false"/>
                <w:iCs w:val="false"/>
                <w:color w:val="222222"/>
                <w:sz w:val="20"/>
                <w:szCs w:val="20"/>
              </w:rPr>
              <w:t xml:space="preserve">Kitchen</w:t>
            </w:r>
          </w:p>
        </w:tc>
        <w:tc>
          <w:tcPr>
            <w:tcW w:type="dxa" w:w="7150"/>
            <w:tcMar>
              <w:top w:type="dxa" w:w="90"/>
              <w:left w:type="dxa" w:w="110"/>
              <w:bottom w:type="dxa" w:w="90"/>
              <w:right w:type="dxa" w:w="110"/>
            </w:tcMar>
            <w:vAlign w:val="top"/>
          </w:tcPr>
          <w:p>
            <w:pPr>
              <w:jc w:val="left"/>
            </w:pPr>
            <w:r>
              <w:rPr>
                <w:b w:val="false"/>
                <w:bCs w:val="false"/>
                <w:i w:val="false"/>
                <w:iCs w:val="false"/>
                <w:color w:val="222222"/>
                <w:sz w:val="20"/>
                <w:szCs w:val="20"/>
              </w:rPr>
              <w:t xml:space="preserve">View and progress the order-confirmation queue, toggle item availability.</w:t>
            </w:r>
          </w:p>
        </w:tc>
      </w:tr>
      <w:tr>
        <w:trPr>
          <w:cantSplit/>
        </w:trPr>
        <w:tc>
          <w:tcPr>
            <w:tcW w:type="dxa" w:w="22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Cashier</w:t>
            </w:r>
          </w:p>
        </w:tc>
        <w:tc>
          <w:tcPr>
            <w:tcW w:type="dxa" w:w="71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Open/close shift, assemble bills, record payments, print/reissue receipts.</w:t>
            </w:r>
          </w:p>
        </w:tc>
      </w:tr>
    </w:tbl>
    <w:p>
      <w:pPr>
        <w:pStyle w:val="Heading1"/>
        <w:pBdr>
          <w:bottom w:val="single" w:color="C9CEDD" w:sz="6" w:space="4"/>
        </w:pBdr>
        <w:spacing w:after="200" w:before="420"/>
      </w:pPr>
      <w:r>
        <w:rPr>
          <w:b/>
          <w:bCs/>
          <w:color w:val="1F2A5C"/>
          <w:sz w:val="30"/>
          <w:szCs w:val="30"/>
        </w:rPr>
        <w:t xml:space="preserve">8. Team &amp; Responsibilities</w:t>
      </w:r>
    </w:p>
    <w:tbl>
      <w:tblPr>
        <w:tblW w:type="dxa" w:w="9350"/>
        <w:tblBorders>
          <w:top w:val="single" w:color="8A5A00" w:sz="4"/>
          <w:left w:val="single" w:color="8A5A00" w:sz="16"/>
          <w:bottom w:val="single" w:color="8A5A00" w:sz="4"/>
          <w:right w:val="single" w:color="8A5A00" w:sz="4"/>
          <w:insideH w:val="none" w:color="FFFFFF" w:sz="0"/>
          <w:insideV w:val="none" w:color="FFFFFF" w:sz="0"/>
        </w:tblBorders>
      </w:tblPr>
      <w:tblGrid>
        <w:gridCol w:w="9350"/>
      </w:tblGrid>
      <w:tr>
        <w:tc>
          <w:tcPr>
            <w:tcW w:type="dxa" w:w="9350"/>
            <w:shd w:fill="FCEFD9" w:val="clear"/>
            <w:tcMar>
              <w:top w:type="dxa" w:w="140"/>
              <w:left w:type="dxa" w:w="180"/>
              <w:bottom w:type="dxa" w:w="140"/>
              <w:right w:type="dxa" w:w="180"/>
            </w:tcMar>
          </w:tcPr>
          <w:p>
            <w:pPr>
              <w:spacing w:after="60"/>
            </w:pPr>
            <w:r>
              <w:rPr>
                <w:b/>
                <w:bCs/>
                <w:color w:val="8A5A00"/>
                <w:sz w:val="19"/>
                <w:szCs w:val="19"/>
              </w:rPr>
              <w:t xml:space="preserve">What changed here from v1.0</w:t>
            </w:r>
          </w:p>
          <w:p>
            <w:pPr>
              <w:spacing w:after="0"/>
            </w:pPr>
            <w:r>
              <w:rPr>
                <w:color w:val="222222"/>
                <w:sz w:val="21"/>
                <w:szCs w:val="21"/>
              </w:rPr>
              <w:t xml:space="preserve">Dual-mode deployment (Section 5.2) and the delivery module (Section 6.6) are real additional scope, not free additions. To hold the 18 October go-live date rather than push it, the recommendation is to add one dedicated engineer for the offline-sync layer and delivery module (Role 3, below) — 8 people instead of 7. This is logged as the formal change request behind this v2.0 revision; see Section 14.</w:t>
            </w:r>
          </w:p>
        </w:tc>
      </w:tr>
    </w:tbl>
    <w:tbl>
      <w:tblPr>
        <w:tblW w:type="dxa" w:w="9350"/>
        <w:tblBorders>
          <w:top w:val="single" w:color="C9CEDD" w:sz="4"/>
          <w:left w:val="single" w:color="C9CEDD" w:sz="4"/>
          <w:bottom w:val="single" w:color="C9CEDD" w:sz="4"/>
          <w:right w:val="single" w:color="C9CEDD" w:sz="4"/>
          <w:insideH w:val="single" w:color="C9CEDD" w:sz="4"/>
          <w:insideV w:val="single" w:color="C9CEDD" w:sz="4"/>
        </w:tblBorders>
      </w:tblPr>
      <w:tblGrid>
        <w:gridCol w:w="2600"/>
        <w:gridCol w:w="1200"/>
        <w:gridCol w:w="5550"/>
      </w:tblGrid>
      <w:tr>
        <w:trPr>
          <w:tblHeader/>
        </w:trPr>
        <w:tc>
          <w:tcPr>
            <w:tcW w:type="dxa" w:w="26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Role</w:t>
            </w:r>
          </w:p>
        </w:tc>
        <w:tc>
          <w:tcPr>
            <w:tcW w:type="dxa" w:w="12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Headcount</w:t>
            </w:r>
          </w:p>
        </w:tc>
        <w:tc>
          <w:tcPr>
            <w:tcW w:type="dxa" w:w="55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Primary responsibility</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Backend / tech lead</w:t>
            </w:r>
          </w:p>
        </w:tc>
        <w:tc>
          <w:tcPr>
            <w:tcW w:type="dxa" w:w="1200"/>
            <w:tcMar>
              <w:top w:type="dxa" w:w="90"/>
              <w:left w:type="dxa" w:w="110"/>
              <w:bottom w:type="dxa" w:w="90"/>
              <w:right w:type="dxa" w:w="110"/>
            </w:tcMar>
            <w:vAlign w:val="top"/>
          </w:tcPr>
          <w:p>
            <w:pPr>
              <w:jc w:val="left"/>
            </w:pPr>
            <w:r>
              <w:rPr>
                <w:b w:val="false"/>
                <w:bCs w:val="false"/>
                <w:i w:val="false"/>
                <w:iCs w:val="false"/>
                <w:color w:val="222222"/>
                <w:sz w:val="20"/>
                <w:szCs w:val="20"/>
              </w:rPr>
              <w:t xml:space="preserve">1</w:t>
            </w:r>
          </w:p>
        </w:tc>
        <w:tc>
          <w:tcPr>
            <w:tcW w:type="dxa" w:w="5550"/>
            <w:tcMar>
              <w:top w:type="dxa" w:w="90"/>
              <w:left w:type="dxa" w:w="110"/>
              <w:bottom w:type="dxa" w:w="90"/>
              <w:right w:type="dxa" w:w="110"/>
            </w:tcMar>
            <w:vAlign w:val="top"/>
          </w:tcPr>
          <w:p>
            <w:pPr>
              <w:jc w:val="left"/>
            </w:pPr>
            <w:r>
              <w:rPr>
                <w:b w:val="false"/>
                <w:bCs w:val="false"/>
                <w:i w:val="false"/>
                <w:iCs w:val="false"/>
                <w:color w:val="222222"/>
                <w:sz w:val="20"/>
                <w:szCs w:val="20"/>
              </w:rPr>
              <w:t xml:space="preserve">Architecture, order-lifecycle domain, code review, integration with Ad Engine team.</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Backend engineer</w:t>
            </w:r>
          </w:p>
        </w:tc>
        <w:tc>
          <w:tcPr>
            <w:tcW w:type="dxa" w:w="12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1</w:t>
            </w:r>
          </w:p>
        </w:tc>
        <w:tc>
          <w:tcPr>
            <w:tcW w:type="dxa" w:w="55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Tables, reservations, menu/modifiers, real-time (online) layer.</w:t>
            </w:r>
          </w:p>
        </w:tc>
      </w:tr>
      <w:tr>
        <w:trPr>
          <w:cantSplit/>
        </w:trPr>
        <w:tc>
          <w:tcPr>
            <w:tcW w:type="dxa" w:w="2600"/>
            <w:shd w:fill="E5F3E8" w:val="clear"/>
            <w:tcMar>
              <w:top w:type="dxa" w:w="90"/>
              <w:left w:type="dxa" w:w="110"/>
              <w:bottom w:type="dxa" w:w="90"/>
              <w:right w:type="dxa" w:w="110"/>
            </w:tcMar>
            <w:vAlign w:val="top"/>
          </w:tcPr>
          <w:p>
            <w:pPr>
              <w:jc w:val="left"/>
            </w:pPr>
            <w:r>
              <w:rPr>
                <w:b/>
                <w:bCs/>
                <w:i w:val="false"/>
                <w:iCs w:val="false"/>
                <w:color w:val="1E6B34"/>
                <w:sz w:val="20"/>
                <w:szCs w:val="20"/>
              </w:rPr>
              <w:t xml:space="preserve">Backend engineer — offline sync &amp; delivery</w:t>
            </w:r>
          </w:p>
        </w:tc>
        <w:tc>
          <w:tcPr>
            <w:tcW w:type="dxa" w:w="1200"/>
            <w:tcMar>
              <w:top w:type="dxa" w:w="90"/>
              <w:left w:type="dxa" w:w="110"/>
              <w:bottom w:type="dxa" w:w="90"/>
              <w:right w:type="dxa" w:w="110"/>
            </w:tcMar>
            <w:vAlign w:val="top"/>
          </w:tcPr>
          <w:p>
            <w:pPr>
              <w:jc w:val="left"/>
            </w:pPr>
            <w:r>
              <w:rPr>
                <w:b w:val="false"/>
                <w:bCs w:val="false"/>
                <w:i w:val="false"/>
                <w:iCs w:val="false"/>
                <w:color w:val="222222"/>
                <w:sz w:val="20"/>
                <w:szCs w:val="20"/>
              </w:rPr>
              <w:t xml:space="preserve">1</w:t>
            </w:r>
          </w:p>
        </w:tc>
        <w:tc>
          <w:tcPr>
            <w:tcW w:type="dxa" w:w="5550"/>
            <w:tcMar>
              <w:top w:type="dxa" w:w="90"/>
              <w:left w:type="dxa" w:w="110"/>
              <w:bottom w:type="dxa" w:w="90"/>
              <w:right w:type="dxa" w:w="110"/>
            </w:tcMar>
            <w:vAlign w:val="top"/>
          </w:tcPr>
          <w:p>
            <w:pPr>
              <w:jc w:val="left"/>
            </w:pPr>
            <w:r>
              <w:rPr>
                <w:b w:val="false"/>
                <w:bCs w:val="false"/>
                <w:i w:val="false"/>
                <w:iCs w:val="false"/>
                <w:color w:val="222222"/>
                <w:sz w:val="20"/>
                <w:szCs w:val="20"/>
              </w:rPr>
              <w:t xml:space="preserve">New role for v2.0. Owns the local-queue sync design (Section 5.2), the offline/reconnect test pass, and the delivery order module (Section 6.6) end to end.</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Backend engineer</w:t>
            </w:r>
          </w:p>
        </w:tc>
        <w:tc>
          <w:tcPr>
            <w:tcW w:type="dxa" w:w="12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1</w:t>
            </w:r>
          </w:p>
        </w:tc>
        <w:tc>
          <w:tcPr>
            <w:tcW w:type="dxa" w:w="55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ZATCA e-invoicing integration, WhatsApp/LangGraph concierge.</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Frontend engineer</w:t>
            </w:r>
          </w:p>
        </w:tc>
        <w:tc>
          <w:tcPr>
            <w:tcW w:type="dxa" w:w="1200"/>
            <w:tcMar>
              <w:top w:type="dxa" w:w="90"/>
              <w:left w:type="dxa" w:w="110"/>
              <w:bottom w:type="dxa" w:w="90"/>
              <w:right w:type="dxa" w:w="110"/>
            </w:tcMar>
            <w:vAlign w:val="top"/>
          </w:tcPr>
          <w:p>
            <w:pPr>
              <w:jc w:val="left"/>
            </w:pPr>
            <w:r>
              <w:rPr>
                <w:b w:val="false"/>
                <w:bCs w:val="false"/>
                <w:i w:val="false"/>
                <w:iCs w:val="false"/>
                <w:color w:val="222222"/>
                <w:sz w:val="20"/>
                <w:szCs w:val="20"/>
              </w:rPr>
              <w:t xml:space="preserve">1</w:t>
            </w:r>
          </w:p>
        </w:tc>
        <w:tc>
          <w:tcPr>
            <w:tcW w:type="dxa" w:w="5550"/>
            <w:tcMar>
              <w:top w:type="dxa" w:w="90"/>
              <w:left w:type="dxa" w:w="110"/>
              <w:bottom w:type="dxa" w:w="90"/>
              <w:right w:type="dxa" w:w="110"/>
            </w:tcMar>
            <w:vAlign w:val="top"/>
          </w:tcPr>
          <w:p>
            <w:pPr>
              <w:jc w:val="left"/>
            </w:pPr>
            <w:r>
              <w:rPr>
                <w:b w:val="false"/>
                <w:bCs w:val="false"/>
                <w:i w:val="false"/>
                <w:iCs w:val="false"/>
                <w:color w:val="222222"/>
                <w:sz w:val="20"/>
                <w:szCs w:val="20"/>
              </w:rPr>
              <w:t xml:space="preserve">Internal staff dashboard: floor map, order-confirmation counter, billing counter.</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Frontend engineer</w:t>
            </w:r>
          </w:p>
        </w:tc>
        <w:tc>
          <w:tcPr>
            <w:tcW w:type="dxa" w:w="12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1</w:t>
            </w:r>
          </w:p>
        </w:tc>
        <w:tc>
          <w:tcPr>
            <w:tcW w:type="dxa" w:w="55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Guest-facing QR ordering web app.</w:t>
            </w:r>
          </w:p>
        </w:tc>
      </w:tr>
      <w:tr>
        <w:trPr>
          <w:cantSplit/>
        </w:trPr>
        <w:tc>
          <w:tcPr>
            <w:tcW w:type="dxa" w:w="2600"/>
            <w:tcMar>
              <w:top w:type="dxa" w:w="90"/>
              <w:left w:type="dxa" w:w="110"/>
              <w:bottom w:type="dxa" w:w="90"/>
              <w:right w:type="dxa" w:w="110"/>
            </w:tcMar>
            <w:vAlign w:val="top"/>
          </w:tcPr>
          <w:p>
            <w:pPr>
              <w:jc w:val="left"/>
            </w:pPr>
            <w:r>
              <w:rPr>
                <w:b w:val="false"/>
                <w:bCs w:val="false"/>
                <w:i w:val="false"/>
                <w:iCs w:val="false"/>
                <w:color w:val="222222"/>
                <w:sz w:val="20"/>
                <w:szCs w:val="20"/>
              </w:rPr>
              <w:t xml:space="preserve">QA / integration engineer</w:t>
            </w:r>
          </w:p>
        </w:tc>
        <w:tc>
          <w:tcPr>
            <w:tcW w:type="dxa" w:w="1200"/>
            <w:tcMar>
              <w:top w:type="dxa" w:w="90"/>
              <w:left w:type="dxa" w:w="110"/>
              <w:bottom w:type="dxa" w:w="90"/>
              <w:right w:type="dxa" w:w="110"/>
            </w:tcMar>
            <w:vAlign w:val="top"/>
          </w:tcPr>
          <w:p>
            <w:pPr>
              <w:jc w:val="left"/>
            </w:pPr>
            <w:r>
              <w:rPr>
                <w:b w:val="false"/>
                <w:bCs w:val="false"/>
                <w:i w:val="false"/>
                <w:iCs w:val="false"/>
                <w:color w:val="222222"/>
                <w:sz w:val="20"/>
                <w:szCs w:val="20"/>
              </w:rPr>
              <w:t xml:space="preserve">1</w:t>
            </w:r>
          </w:p>
        </w:tc>
        <w:tc>
          <w:tcPr>
            <w:tcW w:type="dxa" w:w="5550"/>
            <w:tcMar>
              <w:top w:type="dxa" w:w="90"/>
              <w:left w:type="dxa" w:w="110"/>
              <w:bottom w:type="dxa" w:w="90"/>
              <w:right w:type="dxa" w:w="110"/>
            </w:tcMar>
            <w:vAlign w:val="top"/>
          </w:tcPr>
          <w:p>
            <w:pPr>
              <w:jc w:val="left"/>
            </w:pPr>
            <w:r>
              <w:rPr>
                <w:b w:val="false"/>
                <w:bCs w:val="false"/>
                <w:i w:val="false"/>
                <w:iCs w:val="false"/>
                <w:color w:val="222222"/>
                <w:sz w:val="20"/>
                <w:szCs w:val="20"/>
              </w:rPr>
              <w:t xml:space="preserve">End-to-end testing, load/concurrency testing, offline/reconnect scenario testing, staff training materials.</w:t>
            </w:r>
          </w:p>
        </w:tc>
      </w:tr>
      <w:tr>
        <w:trPr>
          <w:cantSplit/>
        </w:trPr>
        <w:tc>
          <w:tcPr>
            <w:tcW w:type="dxa" w:w="26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Delivery &amp; client coordination</w:t>
            </w:r>
          </w:p>
        </w:tc>
        <w:tc>
          <w:tcPr>
            <w:tcW w:type="dxa" w:w="12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1 (shared with the Ad Engine team — see its SOW, Section 7)</w:t>
            </w:r>
          </w:p>
        </w:tc>
        <w:tc>
          <w:tcPr>
            <w:tcW w:type="dxa" w:w="55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Tracks every third-party dependency (WhatsApp verification, ZATCA CSID, hardware, payment gateway), runs the weekly client checkpoint, is the named escalation point on both sides. See Section 13.</w:t>
            </w:r>
          </w:p>
        </w:tc>
      </w:tr>
    </w:tbl>
    <w:p>
      <w:pPr>
        <w:spacing w:after="160"/>
      </w:pPr>
      <w:r>
        <w:rPr>
          <w:b w:val="false"/>
          <w:bCs w:val="false"/>
          <w:i w:val="false"/>
          <w:iCs w:val="false"/>
          <w:color w:val="222222"/>
          <w:sz w:val="22"/>
          <w:szCs w:val="22"/>
        </w:rPr>
        <w:t xml:space="preserve">If the eighth hire above isn't feasible within the current timeline, the honest fallback is to hold the 7-person team from v1.0 and move the go-live date by 1–2 weeks instead — the scope added in this revision doesn't fit inside 7 weeks at 7 people without materially raising risk on the Week 3 go/no-go checkpoint. This trade-off should be made explicitly with the client, not absorbed silently.</w:t>
      </w:r>
    </w:p>
    <w:p>
      <w:pPr>
        <w:pStyle w:val="Heading1"/>
        <w:pBdr>
          <w:bottom w:val="single" w:color="C9CEDD" w:sz="6" w:space="4"/>
        </w:pBdr>
        <w:spacing w:after="200" w:before="420"/>
      </w:pPr>
      <w:r>
        <w:rPr>
          <w:b/>
          <w:bCs/>
          <w:color w:val="1F2A5C"/>
          <w:sz w:val="30"/>
          <w:szCs w:val="30"/>
        </w:rPr>
        <w:t xml:space="preserve">9. Integration Point with the Ad Engine (Product 2)</w:t>
      </w:r>
    </w:p>
    <w:p>
      <w:pPr>
        <w:spacing w:after="160"/>
      </w:pPr>
      <w:r>
        <w:rPr>
          <w:b w:val="false"/>
          <w:bCs w:val="false"/>
          <w:i w:val="false"/>
          <w:iCs w:val="false"/>
          <w:color w:val="222222"/>
          <w:sz w:val="22"/>
          <w:szCs w:val="22"/>
        </w:rPr>
        <w:t xml:space="preserve">Although built by a separate team, the two products share one integration contract: closed-loop attribution. The Ad Engine generates a unique code or link per campaign; when a guest books or orders through that code, this system confirms the booking/order and reports the redemption back to the Ad Engine's attribution endpoint. This contract must be agreed between both technical leads no later than the end of Week 2, so neither team blocks the other in Week 6.</w:t>
      </w:r>
    </w:p>
    <w:p>
      <w:pPr>
        <w:pStyle w:val="Heading1"/>
        <w:pBdr>
          <w:bottom w:val="single" w:color="C9CEDD" w:sz="6" w:space="4"/>
        </w:pBdr>
        <w:spacing w:after="200" w:before="420"/>
      </w:pPr>
      <w:r>
        <w:rPr>
          <w:b/>
          <w:bCs/>
          <w:color w:val="1F2A5C"/>
          <w:sz w:val="30"/>
          <w:szCs w:val="30"/>
        </w:rPr>
        <w:t xml:space="preserve">10. Milestone Plan</w:t>
      </w:r>
    </w:p>
    <w:p>
      <w:pPr>
        <w:spacing w:after="160"/>
      </w:pPr>
      <w:r>
        <w:rPr>
          <w:b w:val="false"/>
          <w:bCs w:val="false"/>
          <w:i w:val="false"/>
          <w:iCs w:val="false"/>
          <w:color w:val="222222"/>
          <w:sz w:val="22"/>
          <w:szCs w:val="22"/>
        </w:rPr>
        <w:t xml:space="preserve">Kickoff: Monday, 31 August 2026. Target go-live: by Saturday, 18 October 2026, ahead of the restaurant's mid-October opening. Assumes the 8-person team in Section 8.</w:t>
      </w:r>
    </w:p>
    <w:tbl>
      <w:tblPr>
        <w:tblW w:type="dxa" w:w="9350"/>
        <w:tblBorders>
          <w:top w:val="single" w:color="C9CEDD" w:sz="4"/>
          <w:left w:val="single" w:color="C9CEDD" w:sz="4"/>
          <w:bottom w:val="single" w:color="C9CEDD" w:sz="4"/>
          <w:right w:val="single" w:color="C9CEDD" w:sz="4"/>
          <w:insideH w:val="single" w:color="C9CEDD" w:sz="4"/>
          <w:insideV w:val="single" w:color="C9CEDD" w:sz="4"/>
        </w:tblBorders>
      </w:tblPr>
      <w:tblGrid>
        <w:gridCol w:w="500"/>
        <w:gridCol w:w="1750"/>
        <w:gridCol w:w="2650"/>
        <w:gridCol w:w="4450"/>
      </w:tblGrid>
      <w:tr>
        <w:trPr>
          <w:tblHeader/>
        </w:trPr>
        <w:tc>
          <w:tcPr>
            <w:tcW w:type="dxa" w:w="5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Week</w:t>
            </w:r>
          </w:p>
        </w:tc>
        <w:tc>
          <w:tcPr>
            <w:tcW w:type="dxa" w:w="17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Dates</w:t>
            </w:r>
          </w:p>
        </w:tc>
        <w:tc>
          <w:tcPr>
            <w:tcW w:type="dxa" w:w="26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Focus</w:t>
            </w:r>
          </w:p>
        </w:tc>
        <w:tc>
          <w:tcPr>
            <w:tcW w:type="dxa" w:w="44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Key deliverable</w:t>
            </w:r>
          </w:p>
        </w:tc>
      </w:tr>
      <w:tr>
        <w:trPr>
          <w:cantSplit/>
        </w:trPr>
        <w:tc>
          <w:tcPr>
            <w:tcW w:type="dxa" w:w="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1</w:t>
            </w:r>
          </w:p>
        </w:tc>
        <w:tc>
          <w:tcPr>
            <w:tcW w:type="dxa" w:w="1750"/>
            <w:tcMar>
              <w:top w:type="dxa" w:w="90"/>
              <w:left w:type="dxa" w:w="110"/>
              <w:bottom w:type="dxa" w:w="90"/>
              <w:right w:type="dxa" w:w="110"/>
            </w:tcMar>
            <w:vAlign w:val="top"/>
          </w:tcPr>
          <w:p>
            <w:pPr>
              <w:jc w:val="left"/>
            </w:pPr>
            <w:r>
              <w:rPr>
                <w:b w:val="false"/>
                <w:bCs w:val="false"/>
                <w:i w:val="false"/>
                <w:iCs w:val="false"/>
                <w:color w:val="222222"/>
                <w:sz w:val="20"/>
                <w:szCs w:val="20"/>
              </w:rPr>
              <w:t xml:space="preserve">31 Aug – 6 Sep</w:t>
            </w:r>
          </w:p>
        </w:tc>
        <w:tc>
          <w:tcPr>
            <w:tcW w:type="dxa" w:w="2650"/>
            <w:tcMar>
              <w:top w:type="dxa" w:w="90"/>
              <w:left w:type="dxa" w:w="110"/>
              <w:bottom w:type="dxa" w:w="90"/>
              <w:right w:type="dxa" w:w="110"/>
            </w:tcMar>
            <w:vAlign w:val="top"/>
          </w:tcPr>
          <w:p>
            <w:pPr>
              <w:jc w:val="left"/>
            </w:pPr>
            <w:r>
              <w:rPr>
                <w:b w:val="false"/>
                <w:bCs w:val="false"/>
                <w:i w:val="false"/>
                <w:iCs w:val="false"/>
                <w:color w:val="222222"/>
                <w:sz w:val="20"/>
                <w:szCs w:val="20"/>
              </w:rPr>
              <w:t xml:space="preserve">Foundation &amp; domain design</w:t>
            </w:r>
          </w:p>
        </w:tc>
        <w:tc>
          <w:tcPr>
            <w:tcW w:type="dxa" w:w="4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Architecture sign-off, incl. the offline-sync and delivery-order designs as ADRs; environments live; WhatsApp verification submitted; ZATCA integration path selected; repository branched per the migration plan.</w:t>
            </w:r>
          </w:p>
        </w:tc>
      </w:tr>
      <w:tr>
        <w:trPr>
          <w:cantSplit/>
        </w:trPr>
        <w:tc>
          <w:tcPr>
            <w:tcW w:type="dxa" w:w="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2</w:t>
            </w:r>
          </w:p>
        </w:tc>
        <w:tc>
          <w:tcPr>
            <w:tcW w:type="dxa" w:w="17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7 – 13 Sep</w:t>
            </w:r>
          </w:p>
        </w:tc>
        <w:tc>
          <w:tcPr>
            <w:tcW w:type="dxa" w:w="26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Core domain build I</w:t>
            </w:r>
          </w:p>
        </w:tc>
        <w:tc>
          <w:tcPr>
            <w:tcW w:type="dxa" w:w="44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Tables, menu/modifiers, and reservations working end-to-end in staging, with schemas designed for both cloud and offline use from the start.</w:t>
            </w:r>
          </w:p>
        </w:tc>
      </w:tr>
      <w:tr>
        <w:trPr>
          <w:cantSplit/>
        </w:trPr>
        <w:tc>
          <w:tcPr>
            <w:tcW w:type="dxa" w:w="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3</w:t>
            </w:r>
          </w:p>
        </w:tc>
        <w:tc>
          <w:tcPr>
            <w:tcW w:type="dxa" w:w="1750"/>
            <w:tcMar>
              <w:top w:type="dxa" w:w="90"/>
              <w:left w:type="dxa" w:w="110"/>
              <w:bottom w:type="dxa" w:w="90"/>
              <w:right w:type="dxa" w:w="110"/>
            </w:tcMar>
            <w:vAlign w:val="top"/>
          </w:tcPr>
          <w:p>
            <w:pPr>
              <w:jc w:val="left"/>
            </w:pPr>
            <w:r>
              <w:rPr>
                <w:b w:val="false"/>
                <w:bCs w:val="false"/>
                <w:i w:val="false"/>
                <w:iCs w:val="false"/>
                <w:color w:val="222222"/>
                <w:sz w:val="20"/>
                <w:szCs w:val="20"/>
              </w:rPr>
              <w:t xml:space="preserve">14 – 20 Sep</w:t>
            </w:r>
          </w:p>
        </w:tc>
        <w:tc>
          <w:tcPr>
            <w:tcW w:type="dxa" w:w="2650"/>
            <w:tcMar>
              <w:top w:type="dxa" w:w="90"/>
              <w:left w:type="dxa" w:w="110"/>
              <w:bottom w:type="dxa" w:w="90"/>
              <w:right w:type="dxa" w:w="110"/>
            </w:tcMar>
            <w:vAlign w:val="top"/>
          </w:tcPr>
          <w:p>
            <w:pPr>
              <w:jc w:val="left"/>
            </w:pPr>
            <w:r>
              <w:rPr>
                <w:b w:val="false"/>
                <w:bCs w:val="false"/>
                <w:i w:val="false"/>
                <w:iCs w:val="false"/>
                <w:color w:val="222222"/>
                <w:sz w:val="20"/>
                <w:szCs w:val="20"/>
              </w:rPr>
              <w:t xml:space="preserve">Core domain build II</w:t>
            </w:r>
          </w:p>
        </w:tc>
        <w:tc>
          <w:tcPr>
            <w:tcW w:type="dxa" w:w="4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QR ordering + order-confirmation counter working end-to-end in staging; first offline-queue prototype validated (create an order offline, confirm clean sync on reconnect).</w:t>
            </w:r>
          </w:p>
        </w:tc>
      </w:tr>
      <w:tr>
        <w:trPr>
          <w:cantSplit/>
        </w:trPr>
        <w:tc>
          <w:tcPr>
            <w:tcW w:type="dxa" w:w="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4</w:t>
            </w:r>
          </w:p>
        </w:tc>
        <w:tc>
          <w:tcPr>
            <w:tcW w:type="dxa" w:w="17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21 – 27 Sep</w:t>
            </w:r>
          </w:p>
        </w:tc>
        <w:tc>
          <w:tcPr>
            <w:tcW w:type="dxa" w:w="26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Billing, ZATCA &amp; delivery</w:t>
            </w:r>
          </w:p>
        </w:tc>
        <w:tc>
          <w:tcPr>
            <w:tcW w:type="dxa" w:w="44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A closed order can be billed and produces a ZATCA-compliant invoice in staging; delivery order type wired into billing with zone charges.</w:t>
            </w:r>
          </w:p>
        </w:tc>
      </w:tr>
      <w:tr>
        <w:trPr>
          <w:cantSplit/>
        </w:trPr>
        <w:tc>
          <w:tcPr>
            <w:tcW w:type="dxa" w:w="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5</w:t>
            </w:r>
          </w:p>
        </w:tc>
        <w:tc>
          <w:tcPr>
            <w:tcW w:type="dxa" w:w="1750"/>
            <w:tcMar>
              <w:top w:type="dxa" w:w="90"/>
              <w:left w:type="dxa" w:w="110"/>
              <w:bottom w:type="dxa" w:w="90"/>
              <w:right w:type="dxa" w:w="110"/>
            </w:tcMar>
            <w:vAlign w:val="top"/>
          </w:tcPr>
          <w:p>
            <w:pPr>
              <w:jc w:val="left"/>
            </w:pPr>
            <w:r>
              <w:rPr>
                <w:b w:val="false"/>
                <w:bCs w:val="false"/>
                <w:i w:val="false"/>
                <w:iCs w:val="false"/>
                <w:color w:val="222222"/>
                <w:sz w:val="20"/>
                <w:szCs w:val="20"/>
              </w:rPr>
              <w:t xml:space="preserve">28 Sep – 4 Oct</w:t>
            </w:r>
          </w:p>
        </w:tc>
        <w:tc>
          <w:tcPr>
            <w:tcW w:type="dxa" w:w="2650"/>
            <w:tcMar>
              <w:top w:type="dxa" w:w="90"/>
              <w:left w:type="dxa" w:w="110"/>
              <w:bottom w:type="dxa" w:w="90"/>
              <w:right w:type="dxa" w:w="110"/>
            </w:tcMar>
            <w:vAlign w:val="top"/>
          </w:tcPr>
          <w:p>
            <w:pPr>
              <w:jc w:val="left"/>
            </w:pPr>
            <w:r>
              <w:rPr>
                <w:b w:val="false"/>
                <w:bCs w:val="false"/>
                <w:i w:val="false"/>
                <w:iCs w:val="false"/>
                <w:color w:val="222222"/>
                <w:sz w:val="20"/>
                <w:szCs w:val="20"/>
              </w:rPr>
              <w:t xml:space="preserve">WhatsApp concierge &amp; delivery module</w:t>
            </w:r>
          </w:p>
        </w:tc>
        <w:tc>
          <w:tcPr>
            <w:tcW w:type="dxa" w:w="4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Concierge books a real reservation into the live system end-to-end; delivery module (zones, address capture, status flow) complete end-to-end.</w:t>
            </w:r>
          </w:p>
        </w:tc>
      </w:tr>
      <w:tr>
        <w:trPr>
          <w:cantSplit/>
        </w:trPr>
        <w:tc>
          <w:tcPr>
            <w:tcW w:type="dxa" w:w="5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6</w:t>
            </w:r>
          </w:p>
        </w:tc>
        <w:tc>
          <w:tcPr>
            <w:tcW w:type="dxa" w:w="17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5 – 11 Oct</w:t>
            </w:r>
          </w:p>
        </w:tc>
        <w:tc>
          <w:tcPr>
            <w:tcW w:type="dxa" w:w="26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Hardening &amp; integration testing</w:t>
            </w:r>
          </w:p>
        </w:tc>
        <w:tc>
          <w:tcPr>
            <w:tcW w:type="dxa" w:w="44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Full rehearsal with real menu data passes, including a dedicated offline/reconnect test pass at every counter; staff training delivered, including offline-mode procedures.</w:t>
            </w:r>
          </w:p>
        </w:tc>
      </w:tr>
      <w:tr>
        <w:trPr>
          <w:cantSplit/>
        </w:trPr>
        <w:tc>
          <w:tcPr>
            <w:tcW w:type="dxa" w:w="500"/>
            <w:tcMar>
              <w:top w:type="dxa" w:w="90"/>
              <w:left w:type="dxa" w:w="110"/>
              <w:bottom w:type="dxa" w:w="90"/>
              <w:right w:type="dxa" w:w="110"/>
            </w:tcMar>
            <w:vAlign w:val="top"/>
          </w:tcPr>
          <w:p>
            <w:pPr>
              <w:jc w:val="left"/>
            </w:pPr>
            <w:r>
              <w:rPr>
                <w:b w:val="false"/>
                <w:bCs w:val="false"/>
                <w:i w:val="false"/>
                <w:iCs w:val="false"/>
                <w:color w:val="222222"/>
                <w:sz w:val="20"/>
                <w:szCs w:val="20"/>
              </w:rPr>
              <w:t xml:space="preserve">7</w:t>
            </w:r>
          </w:p>
        </w:tc>
        <w:tc>
          <w:tcPr>
            <w:tcW w:type="dxa" w:w="1750"/>
            <w:tcMar>
              <w:top w:type="dxa" w:w="90"/>
              <w:left w:type="dxa" w:w="110"/>
              <w:bottom w:type="dxa" w:w="90"/>
              <w:right w:type="dxa" w:w="110"/>
            </w:tcMar>
            <w:vAlign w:val="top"/>
          </w:tcPr>
          <w:p>
            <w:pPr>
              <w:jc w:val="left"/>
            </w:pPr>
            <w:r>
              <w:rPr>
                <w:b w:val="false"/>
                <w:bCs w:val="false"/>
                <w:i w:val="false"/>
                <w:iCs w:val="false"/>
                <w:color w:val="222222"/>
                <w:sz w:val="20"/>
                <w:szCs w:val="20"/>
              </w:rPr>
              <w:t xml:space="preserve">12 – 18 Oct</w:t>
            </w:r>
          </w:p>
        </w:tc>
        <w:tc>
          <w:tcPr>
            <w:tcW w:type="dxa" w:w="2650"/>
            <w:tcMar>
              <w:top w:type="dxa" w:w="90"/>
              <w:left w:type="dxa" w:w="110"/>
              <w:bottom w:type="dxa" w:w="90"/>
              <w:right w:type="dxa" w:w="110"/>
            </w:tcMar>
            <w:vAlign w:val="top"/>
          </w:tcPr>
          <w:p>
            <w:pPr>
              <w:jc w:val="left"/>
            </w:pPr>
            <w:r>
              <w:rPr>
                <w:b w:val="false"/>
                <w:bCs w:val="false"/>
                <w:i w:val="false"/>
                <w:iCs w:val="false"/>
                <w:color w:val="222222"/>
                <w:sz w:val="20"/>
                <w:szCs w:val="20"/>
              </w:rPr>
              <w:t xml:space="preserve">Go-live &amp; buffer</w:t>
            </w:r>
          </w:p>
        </w:tc>
        <w:tc>
          <w:tcPr>
            <w:tcW w:type="dxa" w:w="4450"/>
            <w:tcMar>
              <w:top w:type="dxa" w:w="90"/>
              <w:left w:type="dxa" w:w="110"/>
              <w:bottom w:type="dxa" w:w="90"/>
              <w:right w:type="dxa" w:w="110"/>
            </w:tcMar>
            <w:vAlign w:val="top"/>
          </w:tcPr>
          <w:p>
            <w:pPr>
              <w:jc w:val="left"/>
            </w:pPr>
            <w:r>
              <w:rPr>
                <w:b w:val="false"/>
                <w:bCs w:val="false"/>
                <w:i w:val="false"/>
                <w:iCs w:val="false"/>
                <w:color w:val="222222"/>
                <w:sz w:val="20"/>
                <w:szCs w:val="20"/>
              </w:rPr>
              <w:t xml:space="preserve">Production go-live on both deployment modes; on-call support through opening week, with particular attention to sync behavior under real service load.</w:t>
            </w:r>
          </w:p>
        </w:tc>
      </w:tr>
    </w:tbl>
    <w:p>
      <w:pPr>
        <w:pStyle w:val="Heading1"/>
        <w:pBdr>
          <w:bottom w:val="single" w:color="C9CEDD" w:sz="6" w:space="4"/>
        </w:pBdr>
        <w:spacing w:after="200" w:before="420"/>
      </w:pPr>
      <w:r>
        <w:rPr>
          <w:b/>
          <w:bCs/>
          <w:color w:val="1F2A5C"/>
          <w:sz w:val="30"/>
          <w:szCs w:val="30"/>
        </w:rPr>
        <w:t xml:space="preserve">11. Assumptions &amp; Client Dependencies</w:t>
      </w:r>
    </w:p>
    <w:p>
      <w:pPr>
        <w:pStyle w:val="ListParagraph"/>
        <w:numPr>
          <w:ilvl w:val="0"/>
          <w:numId w:val="1"/>
        </w:numPr>
        <w:spacing w:after="90"/>
      </w:pPr>
      <w:r>
        <w:rPr>
          <w:color w:val="222222"/>
          <w:sz w:val="22"/>
          <w:szCs w:val="22"/>
        </w:rPr>
        <w:t xml:space="preserve">Client provides menu content, pricing, and item photography no later than end of Week 2.</w:t>
      </w:r>
    </w:p>
    <w:p>
      <w:pPr>
        <w:pStyle w:val="ListParagraph"/>
        <w:numPr>
          <w:ilvl w:val="0"/>
          <w:numId w:val="1"/>
        </w:numPr>
        <w:spacing w:after="90"/>
      </w:pPr>
      <w:r>
        <w:rPr>
          <w:color w:val="222222"/>
          <w:sz w:val="22"/>
          <w:szCs w:val="22"/>
        </w:rPr>
        <w:t xml:space="preserve">Client provides WhatsApp Business verification documents and completes any required business checks promptly when requested.</w:t>
      </w:r>
    </w:p>
    <w:p>
      <w:pPr>
        <w:pStyle w:val="ListParagraph"/>
        <w:numPr>
          <w:ilvl w:val="0"/>
          <w:numId w:val="1"/>
        </w:numPr>
        <w:spacing w:after="90"/>
      </w:pPr>
      <w:r>
        <w:rPr>
          <w:color w:val="222222"/>
          <w:sz w:val="22"/>
          <w:szCs w:val="22"/>
        </w:rPr>
        <w:t xml:space="preserve">Client confirms VAT registration status and provides ZATCA/Fatoora onboarding details required for CSID issuance.</w:t>
      </w:r>
    </w:p>
    <w:p>
      <w:pPr>
        <w:pStyle w:val="ListParagraph"/>
        <w:numPr>
          <w:ilvl w:val="0"/>
          <w:numId w:val="1"/>
        </w:numPr>
        <w:spacing w:after="90"/>
      </w:pPr>
      <w:r>
        <w:rPr>
          <w:color w:val="222222"/>
          <w:sz w:val="22"/>
          <w:szCs w:val="22"/>
        </w:rPr>
        <w:t xml:space="preserve">Client arranges a Saudi payment gateway / merchant account supporting card and mada payments; Neuroqaa integrates against it but is not the merchant of record.</w:t>
      </w:r>
    </w:p>
    <w:p>
      <w:pPr>
        <w:pStyle w:val="ListParagraph"/>
        <w:numPr>
          <w:ilvl w:val="0"/>
          <w:numId w:val="1"/>
        </w:numPr>
        <w:spacing w:after="90"/>
      </w:pPr>
      <w:r>
        <w:rPr>
          <w:color w:val="222222"/>
          <w:sz w:val="22"/>
          <w:szCs w:val="22"/>
        </w:rPr>
        <w:t xml:space="preserve">Client procures on-site hardware (POS terminals/tablets, thermal printers, table QR-code stands) unless otherwise agreed.</w:t>
      </w:r>
    </w:p>
    <w:p>
      <w:pPr>
        <w:pStyle w:val="ListParagraph"/>
        <w:numPr>
          <w:ilvl w:val="0"/>
          <w:numId w:val="1"/>
        </w:numPr>
        <w:spacing w:after="90"/>
      </w:pPr>
      <w:r>
        <w:rPr>
          <w:color w:val="222222"/>
          <w:sz w:val="22"/>
          <w:szCs w:val="22"/>
        </w:rPr>
        <w:t xml:space="preserve">Client confirms ZATCA Phase 2 applicability for this specific new entity with a qualified Saudi tax advisor.</w:t>
      </w:r>
    </w:p>
    <w:p>
      <w:pPr>
        <w:pStyle w:val="ListParagraph"/>
        <w:numPr>
          <w:ilvl w:val="0"/>
          <w:numId w:val="1"/>
        </w:numPr>
        <w:spacing w:after="90"/>
      </w:pPr>
      <w:r>
        <w:rPr>
          <w:b/>
          <w:bCs/>
          <w:color w:val="1E6B34"/>
        </w:rPr>
        <w:t xml:space="preserve">Client confirms delivery-order handling: </w:t>
      </w:r>
      <w:r>
        <w:rPr>
          <w:color w:val="222222"/>
        </w:rPr>
        <w:t xml:space="preserve">in-house management only (as scoped in Section 6.6), or a specific third-party platform to be integrated as a Phase 2 change request.</w:t>
      </w:r>
    </w:p>
    <w:p>
      <w:pPr>
        <w:pStyle w:val="ListParagraph"/>
        <w:numPr>
          <w:ilvl w:val="0"/>
          <w:numId w:val="1"/>
        </w:numPr>
        <w:spacing w:after="90"/>
      </w:pPr>
      <w:r>
        <w:rPr>
          <w:b/>
          <w:bCs/>
          <w:color w:val="1E6B34"/>
        </w:rPr>
        <w:t xml:space="preserve">Client confirms multi-branch administration and HR/biometric integration are not launch requirements, </w:t>
      </w:r>
      <w:r>
        <w:rPr>
          <w:color w:val="222222"/>
        </w:rPr>
        <w:t xml:space="preserve">or, if they are, that this is raised as a change request against this document rather than assumed absorbed into the current timeline.</w:t>
      </w:r>
    </w:p>
    <w:p>
      <w:pPr>
        <w:pStyle w:val="ListParagraph"/>
        <w:numPr>
          <w:ilvl w:val="0"/>
          <w:numId w:val="1"/>
        </w:numPr>
        <w:spacing w:after="90"/>
      </w:pPr>
      <w:r>
        <w:rPr>
          <w:b/>
          <w:bCs/>
          <w:color w:val="1E6B34"/>
        </w:rPr>
        <w:t xml:space="preserve">Client confirms guest QR-at-table ordering (scan, browse, order from own phone) is the intended flow, </w:t>
      </w:r>
      <w:r>
        <w:rPr>
          <w:color w:val="222222"/>
        </w:rPr>
        <w:t xml:space="preserve">since the client's requirements document does not name this directly.</w:t>
      </w:r>
    </w:p>
    <w:p>
      <w:pPr>
        <w:pStyle w:val="ListParagraph"/>
        <w:numPr>
          <w:ilvl w:val="0"/>
          <w:numId w:val="1"/>
        </w:numPr>
        <w:spacing w:after="90"/>
      </w:pPr>
      <w:r>
        <w:rPr>
          <w:color w:val="222222"/>
          <w:sz w:val="22"/>
          <w:szCs w:val="22"/>
        </w:rPr>
        <w:t xml:space="preserve">Defines venue connectivity as intermittent rather than entirely absent for extended periods — the offline mode in Section 5.2 covers outages, not a venue with no internet service at all.</w:t>
      </w:r>
    </w:p>
    <w:p>
      <w:pPr>
        <w:pStyle w:val="Heading1"/>
        <w:pBdr>
          <w:bottom w:val="single" w:color="C9CEDD" w:sz="6" w:space="4"/>
        </w:pBdr>
        <w:spacing w:after="200" w:before="420"/>
      </w:pPr>
      <w:r>
        <w:rPr>
          <w:b/>
          <w:bCs/>
          <w:color w:val="1F2A5C"/>
          <w:sz w:val="30"/>
          <w:szCs w:val="30"/>
        </w:rPr>
        <w:t xml:space="preserve">12. Risks &amp; Mitigations</w:t>
      </w:r>
    </w:p>
    <w:tbl>
      <w:tblPr>
        <w:tblW w:type="dxa" w:w="9250"/>
        <w:tblBorders>
          <w:top w:val="single" w:color="C9CEDD" w:sz="4"/>
          <w:left w:val="single" w:color="C9CEDD" w:sz="4"/>
          <w:bottom w:val="single" w:color="C9CEDD" w:sz="4"/>
          <w:right w:val="single" w:color="C9CEDD" w:sz="4"/>
          <w:insideH w:val="single" w:color="C9CEDD" w:sz="4"/>
          <w:insideV w:val="single" w:color="C9CEDD" w:sz="4"/>
        </w:tblBorders>
      </w:tblPr>
      <w:tblGrid>
        <w:gridCol w:w="3400"/>
        <w:gridCol w:w="5850"/>
      </w:tblGrid>
      <w:tr>
        <w:trPr>
          <w:tblHeader/>
        </w:trPr>
        <w:tc>
          <w:tcPr>
            <w:tcW w:type="dxa" w:w="34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Risk</w:t>
            </w:r>
          </w:p>
        </w:tc>
        <w:tc>
          <w:tcPr>
            <w:tcW w:type="dxa" w:w="58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Mitigation</w:t>
            </w:r>
          </w:p>
        </w:tc>
      </w:tr>
      <w:tr>
        <w:trPr>
          <w:cantSplit/>
        </w:trPr>
        <w:tc>
          <w:tcPr>
            <w:tcW w:type="dxa" w:w="3400"/>
            <w:tcMar>
              <w:top w:type="dxa" w:w="90"/>
              <w:left w:type="dxa" w:w="110"/>
              <w:bottom w:type="dxa" w:w="90"/>
              <w:right w:type="dxa" w:w="110"/>
            </w:tcMar>
            <w:vAlign w:val="top"/>
          </w:tcPr>
          <w:p>
            <w:pPr>
              <w:jc w:val="left"/>
            </w:pPr>
            <w:r>
              <w:rPr>
                <w:b w:val="false"/>
                <w:bCs w:val="false"/>
                <w:i w:val="false"/>
                <w:iCs w:val="false"/>
                <w:color w:val="222222"/>
                <w:sz w:val="20"/>
                <w:szCs w:val="20"/>
              </w:rPr>
              <w:t xml:space="preserve">WhatsApp Business verification delay</w:t>
            </w:r>
          </w:p>
        </w:tc>
        <w:tc>
          <w:tcPr>
            <w:tcW w:type="dxa" w:w="5850"/>
            <w:tcMar>
              <w:top w:type="dxa" w:w="90"/>
              <w:left w:type="dxa" w:w="110"/>
              <w:bottom w:type="dxa" w:w="90"/>
              <w:right w:type="dxa" w:w="110"/>
            </w:tcMar>
            <w:vAlign w:val="top"/>
          </w:tcPr>
          <w:p>
            <w:pPr>
              <w:jc w:val="left"/>
            </w:pPr>
            <w:r>
              <w:rPr>
                <w:b w:val="false"/>
                <w:bCs w:val="false"/>
                <w:i w:val="false"/>
                <w:iCs w:val="false"/>
                <w:color w:val="222222"/>
                <w:sz w:val="20"/>
                <w:szCs w:val="20"/>
              </w:rPr>
              <w:t xml:space="preserve">Submitted in Week 1, tracked daily; concierge development proceeds against a sandbox number in parallel.</w:t>
            </w:r>
          </w:p>
        </w:tc>
      </w:tr>
      <w:tr>
        <w:trPr>
          <w:cantSplit/>
        </w:trPr>
        <w:tc>
          <w:tcPr>
            <w:tcW w:type="dxa" w:w="34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ZATCA/Fatoora onboarding (CSID) delay</w:t>
            </w:r>
          </w:p>
        </w:tc>
        <w:tc>
          <w:tcPr>
            <w:tcW w:type="dxa" w:w="58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Vendor/path selected Week 1; onboarding started immediately, in parallel with domain build.</w:t>
            </w:r>
          </w:p>
        </w:tc>
      </w:tr>
      <w:tr>
        <w:trPr>
          <w:cantSplit/>
        </w:trPr>
        <w:tc>
          <w:tcPr>
            <w:tcW w:type="dxa" w:w="3400"/>
            <w:tcMar>
              <w:top w:type="dxa" w:w="90"/>
              <w:left w:type="dxa" w:w="110"/>
              <w:bottom w:type="dxa" w:w="90"/>
              <w:right w:type="dxa" w:w="110"/>
            </w:tcMar>
            <w:vAlign w:val="top"/>
          </w:tcPr>
          <w:p>
            <w:pPr>
              <w:jc w:val="left"/>
            </w:pPr>
            <w:r>
              <w:rPr>
                <w:b w:val="false"/>
                <w:bCs w:val="false"/>
                <w:i w:val="false"/>
                <w:iCs w:val="false"/>
                <w:color w:val="222222"/>
                <w:sz w:val="20"/>
                <w:szCs w:val="20"/>
              </w:rPr>
              <w:t xml:space="preserve">Menu content arrives late from client</w:t>
            </w:r>
          </w:p>
        </w:tc>
        <w:tc>
          <w:tcPr>
            <w:tcW w:type="dxa" w:w="5850"/>
            <w:tcMar>
              <w:top w:type="dxa" w:w="90"/>
              <w:left w:type="dxa" w:w="110"/>
              <w:bottom w:type="dxa" w:w="90"/>
              <w:right w:type="dxa" w:w="110"/>
            </w:tcMar>
            <w:vAlign w:val="top"/>
          </w:tcPr>
          <w:p>
            <w:pPr>
              <w:jc w:val="left"/>
            </w:pPr>
            <w:r>
              <w:rPr>
                <w:b w:val="false"/>
                <w:bCs w:val="false"/>
                <w:i w:val="false"/>
                <w:iCs w:val="false"/>
                <w:color w:val="222222"/>
                <w:sz w:val="20"/>
                <w:szCs w:val="20"/>
              </w:rPr>
              <w:t xml:space="preserve">Placeholder menu used for development; hard cutoff communicated for real content by end of Week 2.</w:t>
            </w:r>
          </w:p>
        </w:tc>
      </w:tr>
      <w:tr>
        <w:trPr>
          <w:cantSplit/>
        </w:trPr>
        <w:tc>
          <w:tcPr>
            <w:tcW w:type="dxa" w:w="3400"/>
            <w:shd w:fill="FCEFD9" w:val="clear"/>
            <w:tcMar>
              <w:top w:type="dxa" w:w="90"/>
              <w:left w:type="dxa" w:w="110"/>
              <w:bottom w:type="dxa" w:w="90"/>
              <w:right w:type="dxa" w:w="110"/>
            </w:tcMar>
            <w:vAlign w:val="top"/>
          </w:tcPr>
          <w:p>
            <w:pPr>
              <w:jc w:val="left"/>
            </w:pPr>
            <w:r>
              <w:rPr>
                <w:b w:val="false"/>
                <w:bCs w:val="false"/>
                <w:i w:val="false"/>
                <w:iCs w:val="false"/>
                <w:color w:val="8A5A00"/>
                <w:sz w:val="20"/>
                <w:szCs w:val="20"/>
              </w:rPr>
              <w:t xml:space="preserve">Offline sync layer underestimated — new engineering, not a settings flag</w:t>
            </w:r>
          </w:p>
        </w:tc>
        <w:tc>
          <w:tcPr>
            <w:tcW w:type="dxa" w:w="58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Dedicated engineer role (Section 8); design finalized as an ADR in Week 1 before dependent app code is written; dedicated test pass in Week 6.</w:t>
            </w:r>
          </w:p>
        </w:tc>
      </w:tr>
      <w:tr>
        <w:trPr>
          <w:cantSplit/>
        </w:trPr>
        <w:tc>
          <w:tcPr>
            <w:tcW w:type="dxa" w:w="3400"/>
            <w:shd w:fill="FCEFD9" w:val="clear"/>
            <w:tcMar>
              <w:top w:type="dxa" w:w="90"/>
              <w:left w:type="dxa" w:w="110"/>
              <w:bottom w:type="dxa" w:w="90"/>
              <w:right w:type="dxa" w:w="110"/>
            </w:tcMar>
            <w:vAlign w:val="top"/>
          </w:tcPr>
          <w:p>
            <w:pPr>
              <w:jc w:val="left"/>
            </w:pPr>
            <w:r>
              <w:rPr>
                <w:b w:val="false"/>
                <w:bCs w:val="false"/>
                <w:i w:val="false"/>
                <w:iCs w:val="false"/>
                <w:color w:val="8A5A00"/>
                <w:sz w:val="20"/>
                <w:szCs w:val="20"/>
              </w:rPr>
              <w:t xml:space="preserve">Delivery module scope creeps toward full aggregator integration</w:t>
            </w:r>
          </w:p>
        </w:tc>
        <w:tc>
          <w:tcPr>
            <w:tcW w:type="dxa" w:w="5850"/>
            <w:tcMar>
              <w:top w:type="dxa" w:w="90"/>
              <w:left w:type="dxa" w:w="110"/>
              <w:bottom w:type="dxa" w:w="90"/>
              <w:right w:type="dxa" w:w="110"/>
            </w:tcMar>
            <w:vAlign w:val="top"/>
          </w:tcPr>
          <w:p>
            <w:pPr>
              <w:jc w:val="left"/>
            </w:pPr>
            <w:r>
              <w:rPr>
                <w:b w:val="false"/>
                <w:bCs w:val="false"/>
                <w:i w:val="false"/>
                <w:iCs w:val="false"/>
                <w:color w:val="222222"/>
                <w:sz w:val="20"/>
                <w:szCs w:val="20"/>
              </w:rPr>
              <w:t xml:space="preserve">Section 6.6 exclusions are explicit; any aggregator integration is logged as a new change request, not absorbed.</w:t>
            </w:r>
          </w:p>
        </w:tc>
      </w:tr>
      <w:tr>
        <w:trPr>
          <w:cantSplit/>
        </w:trPr>
        <w:tc>
          <w:tcPr>
            <w:tcW w:type="dxa" w:w="34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Payment gateway/mada integration delay</w:t>
            </w:r>
          </w:p>
        </w:tc>
        <w:tc>
          <w:tcPr>
            <w:tcW w:type="dxa" w:w="58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Client engagement on this dependency starts Week 1, not deferred to billing sprint.</w:t>
            </w:r>
          </w:p>
        </w:tc>
      </w:tr>
      <w:tr>
        <w:trPr>
          <w:cantSplit/>
        </w:trPr>
        <w:tc>
          <w:tcPr>
            <w:tcW w:type="dxa" w:w="3400"/>
            <w:tcMar>
              <w:top w:type="dxa" w:w="90"/>
              <w:left w:type="dxa" w:w="110"/>
              <w:bottom w:type="dxa" w:w="90"/>
              <w:right w:type="dxa" w:w="110"/>
            </w:tcMar>
            <w:vAlign w:val="top"/>
          </w:tcPr>
          <w:p>
            <w:pPr>
              <w:jc w:val="left"/>
            </w:pPr>
            <w:r>
              <w:rPr>
                <w:b w:val="false"/>
                <w:bCs w:val="false"/>
                <w:i w:val="false"/>
                <w:iCs w:val="false"/>
                <w:color w:val="222222"/>
                <w:sz w:val="20"/>
                <w:szCs w:val="20"/>
              </w:rPr>
              <w:t xml:space="preserve">Opening date moves earlier than planned</w:t>
            </w:r>
          </w:p>
        </w:tc>
        <w:tc>
          <w:tcPr>
            <w:tcW w:type="dxa" w:w="5850"/>
            <w:tcMar>
              <w:top w:type="dxa" w:w="90"/>
              <w:left w:type="dxa" w:w="110"/>
              <w:bottom w:type="dxa" w:w="90"/>
              <w:right w:type="dxa" w:w="110"/>
            </w:tcMar>
            <w:vAlign w:val="top"/>
          </w:tcPr>
          <w:p>
            <w:pPr>
              <w:jc w:val="left"/>
            </w:pPr>
            <w:r>
              <w:rPr>
                <w:b w:val="false"/>
                <w:bCs w:val="false"/>
                <w:i w:val="false"/>
                <w:iCs w:val="false"/>
                <w:color w:val="222222"/>
                <w:sz w:val="20"/>
                <w:szCs w:val="20"/>
              </w:rPr>
              <w:t xml:space="preserve">Weekly client checkpoints surface this immediately; Week 7 buffer is the primary safeguard.</w:t>
            </w:r>
          </w:p>
        </w:tc>
      </w:tr>
      <w:tr>
        <w:trPr>
          <w:cantSplit/>
        </w:trPr>
        <w:tc>
          <w:tcPr>
            <w:tcW w:type="dxa" w:w="34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8th team hire isn't staffed in time</w:t>
            </w:r>
          </w:p>
        </w:tc>
        <w:tc>
          <w:tcPr>
            <w:tcW w:type="dxa" w:w="58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Fallback is a 1–2 week go-live extension with the original 7-person team — see Section 8 — decided explicitly with the client, not silently.</w:t>
            </w:r>
          </w:p>
        </w:tc>
      </w:tr>
    </w:tbl>
    <w:p>
      <w:pPr>
        <w:pStyle w:val="Heading1"/>
        <w:pBdr>
          <w:bottom w:val="single" w:color="C9CEDD" w:sz="6" w:space="4"/>
        </w:pBdr>
        <w:spacing w:after="200" w:before="420"/>
      </w:pPr>
      <w:r>
        <w:rPr>
          <w:b/>
          <w:bCs/>
          <w:color w:val="1F2A5C"/>
          <w:sz w:val="30"/>
          <w:szCs w:val="30"/>
        </w:rPr>
        <w:t xml:space="preserve">13. Communication &amp; Governance</w:t>
      </w:r>
    </w:p>
    <w:p>
      <w:pPr>
        <w:spacing w:after="160"/>
      </w:pPr>
      <w:r>
        <w:rPr>
          <w:b w:val="false"/>
          <w:bCs w:val="false"/>
          <w:i w:val="false"/>
          <w:iCs w:val="false"/>
          <w:color w:val="222222"/>
          <w:sz w:val="22"/>
          <w:szCs w:val="22"/>
        </w:rPr>
        <w:t xml:space="preserve">The dependencies in this project — WhatsApp verification, ZATCA onboarding, menu content, a payment gateway, and now the delivery/offline scope confirmations in Section 11 — sit as much with the client and third parties as with engineering. This section exists so a slip on any of them is caught in the week it happens, not discovered in Week 6.</w:t>
      </w:r>
    </w:p>
    <w:p>
      <w:pPr>
        <w:pStyle w:val="Heading3"/>
        <w:spacing w:after="100" w:before="220"/>
      </w:pPr>
      <w:r>
        <w:rPr>
          <w:b/>
          <w:bCs/>
          <w:i w:val="false"/>
          <w:iCs w:val="false"/>
          <w:color w:val="222222"/>
          <w:sz w:val="22"/>
          <w:szCs w:val="22"/>
        </w:rPr>
        <w:t xml:space="preserve">Weekly client checkpoint</w:t>
      </w:r>
    </w:p>
    <w:p>
      <w:pPr>
        <w:spacing w:after="160"/>
      </w:pPr>
      <w:r>
        <w:rPr>
          <w:b w:val="false"/>
          <w:bCs w:val="false"/>
          <w:i w:val="false"/>
          <w:iCs w:val="false"/>
          <w:color w:val="222222"/>
          <w:sz w:val="22"/>
          <w:szCs w:val="22"/>
        </w:rPr>
        <w:t xml:space="preserve">A working demo against the live staging environment is presented to the client at the end of every week in Section 10 — not a slide summary. This is when a blocked dependency or a scope question gets surfaced and resolved, before it can compound.</w:t>
      </w:r>
    </w:p>
    <w:p>
      <w:pPr>
        <w:pStyle w:val="Heading3"/>
        <w:spacing w:after="100" w:before="220"/>
      </w:pPr>
      <w:r>
        <w:rPr>
          <w:b/>
          <w:bCs/>
          <w:i w:val="false"/>
          <w:iCs w:val="false"/>
          <w:color w:val="222222"/>
          <w:sz w:val="22"/>
          <w:szCs w:val="22"/>
        </w:rPr>
        <w:t xml:space="preserve">Week 3 go/no-go</w:t>
      </w:r>
    </w:p>
    <w:p>
      <w:pPr>
        <w:spacing w:after="160"/>
      </w:pPr>
      <w:r>
        <w:rPr>
          <w:b w:val="false"/>
          <w:bCs w:val="false"/>
          <w:i w:val="false"/>
          <w:iCs w:val="false"/>
          <w:color w:val="222222"/>
          <w:sz w:val="22"/>
          <w:szCs w:val="22"/>
        </w:rPr>
        <w:t xml:space="preserve">By the end of Week 3, QR ordering, the order-confirmation counter, and the first offline-sync prototype must be working end-to-end (see the Week 3 milestone). If they are not, the response happens immediately that week — add hands to the team, move a Phase-1 feature to Phase 2, or adjust the Week 7 buffer — rather than waiting and hoping the gap closes on its own before mid-October.</w:t>
      </w:r>
    </w:p>
    <w:p>
      <w:pPr>
        <w:pStyle w:val="Heading3"/>
        <w:spacing w:after="100" w:before="220"/>
      </w:pPr>
      <w:r>
        <w:rPr>
          <w:b/>
          <w:bCs/>
          <w:i w:val="false"/>
          <w:iCs w:val="false"/>
          <w:color w:val="222222"/>
          <w:sz w:val="22"/>
          <w:szCs w:val="22"/>
        </w:rPr>
        <w:t xml:space="preserve">Change control</w:t>
      </w:r>
    </w:p>
    <w:p>
      <w:pPr>
        <w:spacing w:after="160"/>
      </w:pPr>
      <w:r>
        <w:rPr>
          <w:b w:val="false"/>
          <w:bCs w:val="false"/>
          <w:i w:val="false"/>
          <w:iCs w:val="false"/>
          <w:color w:val="222222"/>
          <w:sz w:val="22"/>
          <w:szCs w:val="22"/>
        </w:rPr>
        <w:t xml:space="preserve">This engagement's scope has now grown twice — once from an ads-and-concierge pitch into the original two-product plan, and again in this v2.0 revision. Any further addition after this document is signed is logged as a written change request, with its effect on timeline and cost stated before work starts on it, not absorbed silently into the current sprint.</w:t>
      </w:r>
    </w:p>
    <w:p>
      <w:pPr>
        <w:pStyle w:val="Heading3"/>
        <w:spacing w:after="100" w:before="220"/>
      </w:pPr>
      <w:r>
        <w:rPr>
          <w:b/>
          <w:bCs/>
          <w:i w:val="false"/>
          <w:iCs w:val="false"/>
          <w:color w:val="222222"/>
          <w:sz w:val="22"/>
          <w:szCs w:val="22"/>
        </w:rPr>
        <w:t xml:space="preserve">Escalation</w:t>
      </w:r>
    </w:p>
    <w:p>
      <w:pPr>
        <w:spacing w:after="160"/>
      </w:pPr>
      <w:r>
        <w:rPr>
          <w:b w:val="false"/>
          <w:bCs w:val="false"/>
          <w:i w:val="false"/>
          <w:iCs w:val="false"/>
          <w:color w:val="222222"/>
          <w:sz w:val="22"/>
          <w:szCs w:val="22"/>
        </w:rPr>
        <w:t xml:space="preserve">Named point of contact, Neuroqaa side: [Name / role]. Named point of contact, client side: [Name / role]. Anything that cannot wait for the weekly checkpoint goes directly to these two.</w:t>
      </w:r>
    </w:p>
    <w:p>
      <w:pPr>
        <w:pStyle w:val="Heading1"/>
        <w:pBdr>
          <w:bottom w:val="single" w:color="C9CEDD" w:sz="6" w:space="4"/>
        </w:pBdr>
        <w:spacing w:after="200" w:before="420"/>
      </w:pPr>
      <w:r>
        <w:rPr>
          <w:b/>
          <w:bCs/>
          <w:color w:val="1F2A5C"/>
          <w:sz w:val="30"/>
          <w:szCs w:val="30"/>
        </w:rPr>
        <w:t xml:space="preserve">14. Change Log — v1.0 → v2.0</w:t>
      </w:r>
    </w:p>
    <w:p>
      <w:pPr>
        <w:spacing w:after="160"/>
      </w:pPr>
      <w:r>
        <w:rPr>
          <w:b w:val="false"/>
          <w:bCs w:val="false"/>
          <w:i w:val="false"/>
          <w:iCs w:val="false"/>
          <w:color w:val="222222"/>
          <w:sz w:val="22"/>
          <w:szCs w:val="22"/>
        </w:rPr>
        <w:t xml:space="preserve">Issued as a single, consolidated change request rather than five separate ones, since all five originate from the same source: reconciling v1.0 against the client's own requirements checklist. Full reasoning for each is in the companion “Client Spec vs. Our Scope” artifact and the “POS Reconciliation &amp; Migration Plan.”</w:t>
      </w:r>
    </w:p>
    <w:tbl>
      <w:tblPr>
        <w:tblW w:type="dxa" w:w="9250"/>
        <w:tblBorders>
          <w:top w:val="single" w:color="C9CEDD" w:sz="4"/>
          <w:left w:val="single" w:color="C9CEDD" w:sz="4"/>
          <w:bottom w:val="single" w:color="C9CEDD" w:sz="4"/>
          <w:right w:val="single" w:color="C9CEDD" w:sz="4"/>
          <w:insideH w:val="single" w:color="C9CEDD" w:sz="4"/>
          <w:insideV w:val="single" w:color="C9CEDD" w:sz="4"/>
        </w:tblBorders>
      </w:tblPr>
      <w:tblGrid>
        <w:gridCol w:w="3200"/>
        <w:gridCol w:w="6050"/>
      </w:tblGrid>
      <w:tr>
        <w:trPr>
          <w:tblHeader/>
        </w:trPr>
        <w:tc>
          <w:tcPr>
            <w:tcW w:type="dxa" w:w="320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Change</w:t>
            </w:r>
          </w:p>
        </w:tc>
        <w:tc>
          <w:tcPr>
            <w:tcW w:type="dxa" w:w="6050"/>
            <w:shd w:fill="1F2A5C" w:val="clear"/>
            <w:tcMar>
              <w:top w:type="dxa" w:w="90"/>
              <w:left w:type="dxa" w:w="110"/>
              <w:bottom w:type="dxa" w:w="90"/>
              <w:right w:type="dxa" w:w="110"/>
            </w:tcMar>
            <w:vAlign w:val="top"/>
          </w:tcPr>
          <w:p>
            <w:pPr>
              <w:jc w:val="left"/>
            </w:pPr>
            <w:r>
              <w:rPr>
                <w:b/>
                <w:bCs/>
                <w:i w:val="false"/>
                <w:iCs w:val="false"/>
                <w:color w:val="FFFFFF"/>
                <w:sz w:val="19"/>
                <w:szCs w:val="19"/>
              </w:rPr>
              <w:t xml:space="preserve">Effect on this document</w:t>
            </w:r>
          </w:p>
        </w:tc>
      </w:tr>
      <w:tr>
        <w:trPr>
          <w:cantSplit/>
        </w:trPr>
        <w:tc>
          <w:tcPr>
            <w:tcW w:type="dxa" w:w="3200"/>
            <w:tcMar>
              <w:top w:type="dxa" w:w="90"/>
              <w:left w:type="dxa" w:w="110"/>
              <w:bottom w:type="dxa" w:w="90"/>
              <w:right w:type="dxa" w:w="110"/>
            </w:tcMar>
            <w:vAlign w:val="top"/>
          </w:tcPr>
          <w:p>
            <w:pPr>
              <w:jc w:val="left"/>
            </w:pPr>
            <w:r>
              <w:rPr>
                <w:b w:val="false"/>
                <w:bCs w:val="false"/>
                <w:i w:val="false"/>
                <w:iCs w:val="false"/>
                <w:color w:val="222222"/>
                <w:sz w:val="20"/>
                <w:szCs w:val="20"/>
              </w:rPr>
              <w:t xml:space="preserve">Dual-mode deployment added (cloud + offline-capable), reversing v1.0's cloud-only decision</w:t>
            </w:r>
          </w:p>
        </w:tc>
        <w:tc>
          <w:tcPr>
            <w:tcW w:type="dxa" w:w="6050"/>
            <w:tcMar>
              <w:top w:type="dxa" w:w="90"/>
              <w:left w:type="dxa" w:w="110"/>
              <w:bottom w:type="dxa" w:w="90"/>
              <w:right w:type="dxa" w:w="110"/>
            </w:tcMar>
            <w:vAlign w:val="top"/>
          </w:tcPr>
          <w:p>
            <w:pPr>
              <w:jc w:val="left"/>
            </w:pPr>
            <w:r>
              <w:rPr>
                <w:b w:val="false"/>
                <w:bCs w:val="false"/>
                <w:i w:val="false"/>
                <w:iCs w:val="false"/>
                <w:color w:val="222222"/>
                <w:sz w:val="20"/>
                <w:szCs w:val="20"/>
              </w:rPr>
              <w:t xml:space="preserve">Section 5.2 (new), Section 3 scope, Section 8 team (+1 hire), Section 10 milestones (offline test pass added to Weeks 2–6).</w:t>
            </w:r>
          </w:p>
        </w:tc>
      </w:tr>
      <w:tr>
        <w:trPr>
          <w:cantSplit/>
        </w:trPr>
        <w:tc>
          <w:tcPr>
            <w:tcW w:type="dxa" w:w="32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Delivery orders (basic) added to Phase 1</w:t>
            </w:r>
          </w:p>
        </w:tc>
        <w:tc>
          <w:tcPr>
            <w:tcW w:type="dxa" w:w="60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Section 6.6 (new), Section 3 scope, Section 8 team, Section 10 Weeks 4–5.</w:t>
            </w:r>
          </w:p>
        </w:tc>
      </w:tr>
      <w:tr>
        <w:trPr>
          <w:cantSplit/>
        </w:trPr>
        <w:tc>
          <w:tcPr>
            <w:tcW w:type="dxa" w:w="3200"/>
            <w:tcMar>
              <w:top w:type="dxa" w:w="90"/>
              <w:left w:type="dxa" w:w="110"/>
              <w:bottom w:type="dxa" w:w="90"/>
              <w:right w:type="dxa" w:w="110"/>
            </w:tcMar>
            <w:vAlign w:val="top"/>
          </w:tcPr>
          <w:p>
            <w:pPr>
              <w:jc w:val="left"/>
            </w:pPr>
            <w:r>
              <w:rPr>
                <w:b w:val="false"/>
                <w:bCs w:val="false"/>
                <w:i w:val="false"/>
                <w:iCs w:val="false"/>
                <w:color w:val="222222"/>
                <w:sz w:val="20"/>
                <w:szCs w:val="20"/>
              </w:rPr>
              <w:t xml:space="preserve">Table status extended with “Blocked”</w:t>
            </w:r>
          </w:p>
        </w:tc>
        <w:tc>
          <w:tcPr>
            <w:tcW w:type="dxa" w:w="6050"/>
            <w:tcMar>
              <w:top w:type="dxa" w:w="90"/>
              <w:left w:type="dxa" w:w="110"/>
              <w:bottom w:type="dxa" w:w="90"/>
              <w:right w:type="dxa" w:w="110"/>
            </w:tcMar>
            <w:vAlign w:val="top"/>
          </w:tcPr>
          <w:p>
            <w:pPr>
              <w:jc w:val="left"/>
            </w:pPr>
            <w:r>
              <w:rPr>
                <w:b w:val="false"/>
                <w:bCs w:val="false"/>
                <w:i w:val="false"/>
                <w:iCs w:val="false"/>
                <w:color w:val="222222"/>
                <w:sz w:val="20"/>
                <w:szCs w:val="20"/>
              </w:rPr>
              <w:t xml:space="preserve">Section 6.1.</w:t>
            </w:r>
          </w:p>
        </w:tc>
      </w:tr>
      <w:tr>
        <w:trPr>
          <w:cantSplit/>
        </w:trPr>
        <w:tc>
          <w:tcPr>
            <w:tcW w:type="dxa" w:w="320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Ingredient-level inventory/recipe costing, multi-branch admin, and HR/biometric integration explicitly confirmed as out of scope, pending client sign-off</w:t>
            </w:r>
          </w:p>
        </w:tc>
        <w:tc>
          <w:tcPr>
            <w:tcW w:type="dxa" w:w="6050"/>
            <w:shd w:fill="F4F5FA" w:val="clear"/>
            <w:tcMar>
              <w:top w:type="dxa" w:w="90"/>
              <w:left w:type="dxa" w:w="110"/>
              <w:bottom w:type="dxa" w:w="90"/>
              <w:right w:type="dxa" w:w="110"/>
            </w:tcMar>
            <w:vAlign w:val="top"/>
          </w:tcPr>
          <w:p>
            <w:pPr>
              <w:jc w:val="left"/>
            </w:pPr>
            <w:r>
              <w:rPr>
                <w:b w:val="false"/>
                <w:bCs w:val="false"/>
                <w:i w:val="false"/>
                <w:iCs w:val="false"/>
                <w:color w:val="222222"/>
                <w:sz w:val="20"/>
                <w:szCs w:val="20"/>
              </w:rPr>
              <w:t xml:space="preserve">Section 3 out-of-scope list, Section 11 new dependencies.</w:t>
            </w:r>
          </w:p>
        </w:tc>
      </w:tr>
      <w:tr>
        <w:trPr>
          <w:cantSplit/>
        </w:trPr>
        <w:tc>
          <w:tcPr>
            <w:tcW w:type="dxa" w:w="3200"/>
            <w:tcMar>
              <w:top w:type="dxa" w:w="90"/>
              <w:left w:type="dxa" w:w="110"/>
              <w:bottom w:type="dxa" w:w="90"/>
              <w:right w:type="dxa" w:w="110"/>
            </w:tcMar>
            <w:vAlign w:val="top"/>
          </w:tcPr>
          <w:p>
            <w:pPr>
              <w:jc w:val="left"/>
            </w:pPr>
            <w:r>
              <w:rPr>
                <w:b w:val="false"/>
                <w:bCs w:val="false"/>
                <w:i w:val="false"/>
                <w:iCs w:val="false"/>
                <w:color w:val="222222"/>
                <w:sz w:val="20"/>
                <w:szCs w:val="20"/>
              </w:rPr>
              <w:t xml:space="preserve">Reuse/rebuild/new architecture table updated to reflect the codebase's current state (khata, void/return, receipt engine, audit log, i18n framework all more mature than originally assessed)</w:t>
            </w:r>
          </w:p>
        </w:tc>
        <w:tc>
          <w:tcPr>
            <w:tcW w:type="dxa" w:w="6050"/>
            <w:tcMar>
              <w:top w:type="dxa" w:w="90"/>
              <w:left w:type="dxa" w:w="110"/>
              <w:bottom w:type="dxa" w:w="90"/>
              <w:right w:type="dxa" w:w="110"/>
            </w:tcMar>
            <w:vAlign w:val="top"/>
          </w:tcPr>
          <w:p>
            <w:pPr>
              <w:jc w:val="left"/>
            </w:pPr>
            <w:r>
              <w:rPr>
                <w:b w:val="false"/>
                <w:bCs w:val="false"/>
                <w:i w:val="false"/>
                <w:iCs w:val="false"/>
                <w:color w:val="222222"/>
                <w:sz w:val="20"/>
                <w:szCs w:val="20"/>
              </w:rPr>
              <w:t xml:space="preserve">Section 5.1.</w:t>
            </w:r>
          </w:p>
        </w:tc>
      </w:tr>
    </w:tbl>
    <w:p>
      <w:pPr>
        <w:pStyle w:val="Heading1"/>
        <w:pBdr>
          <w:bottom w:val="single" w:color="C9CEDD" w:sz="6" w:space="4"/>
        </w:pBdr>
        <w:spacing w:after="200" w:before="420"/>
      </w:pPr>
      <w:r>
        <w:rPr>
          <w:b/>
          <w:bCs/>
          <w:color w:val="1F2A5C"/>
          <w:sz w:val="30"/>
          <w:szCs w:val="30"/>
        </w:rPr>
        <w:t xml:space="preserve">15. Sign-off</w:t>
      </w:r>
    </w:p>
    <w:p>
      <w:pPr>
        <w:spacing w:after="160"/>
      </w:pPr>
      <w:r>
        <w:rPr>
          <w:b w:val="false"/>
          <w:bCs w:val="false"/>
          <w:i w:val="false"/>
          <w:iCs w:val="false"/>
          <w:color w:val="222222"/>
          <w:sz w:val="22"/>
          <w:szCs w:val="22"/>
        </w:rPr>
        <w:t xml:space="preserve">This Scope of Work is considered approved once both parties confirm agreement below. Any changes to scope after approval will be handled as a documented change request against this baseline.</w:t>
      </w:r>
    </w:p>
    <w:p>
      <w:pPr>
        <w:spacing w:after="500"/>
      </w:pPr>
      <w:r>
        <w:rPr>
          <w:b w:val="false"/>
          <w:bCs w:val="false"/>
          <w:i w:val="false"/>
          <w:iCs w:val="false"/>
          <w:color w:val="222222"/>
          <w:sz w:val="22"/>
          <w:szCs w:val="22"/>
        </w:rPr>
        <w:t xml:space="preserve"/>
      </w:r>
    </w:p>
    <w:p>
      <w:pPr>
        <w:spacing w:after="160"/>
      </w:pPr>
      <w:r>
        <w:rPr>
          <w:b w:val="false"/>
          <w:bCs w:val="false"/>
          <w:i w:val="false"/>
          <w:iCs w:val="false"/>
          <w:color w:val="222222"/>
          <w:sz w:val="22"/>
          <w:szCs w:val="22"/>
        </w:rPr>
        <w:t xml:space="preserve">__________________________          __________________________</w:t>
      </w:r>
    </w:p>
    <w:p>
      <w:pPr>
        <w:spacing w:after="160"/>
      </w:pPr>
      <w:r>
        <w:rPr>
          <w:b w:val="false"/>
          <w:bCs w:val="false"/>
          <w:i w:val="false"/>
          <w:iCs w:val="false"/>
          <w:color w:val="5B5F6B"/>
          <w:sz w:val="20"/>
          <w:szCs w:val="20"/>
        </w:rPr>
        <w:t xml:space="preserve">Neuroqaa.ai — Founder / Delivery Lead          Client — Authorized Signatory</w:t>
      </w:r>
    </w:p>
    <w:p>
      <w:pPr>
        <w:spacing w:after="300"/>
      </w:pPr>
      <w:r>
        <w:rPr>
          <w:b w:val="false"/>
          <w:bCs w:val="false"/>
          <w:i w:val="false"/>
          <w:iCs w:val="false"/>
          <w:color w:val="222222"/>
          <w:sz w:val="22"/>
          <w:szCs w:val="22"/>
        </w:rPr>
        <w:t xml:space="preserve"/>
      </w:r>
    </w:p>
    <w:p>
      <w:pPr>
        <w:spacing w:after="160"/>
      </w:pPr>
      <w:r>
        <w:rPr>
          <w:b w:val="false"/>
          <w:bCs w:val="false"/>
          <w:i w:val="false"/>
          <w:iCs w:val="false"/>
          <w:color w:val="222222"/>
          <w:sz w:val="22"/>
          <w:szCs w:val="22"/>
        </w:rPr>
        <w:t xml:space="preserve">Date: ______________          Date: 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2026-09-07T08:49:22.843Z</dcterms:created>
  <dcterms:modified xsi:type="dcterms:W3CDTF">2026-09-07T08:49:22.843Z</dcterms:modified>
</cp:coreProperties>
</file>

<file path=docProps/custom.xml><?xml version="1.0" encoding="utf-8"?>
<Properties xmlns="http://schemas.openxmlformats.org/officeDocument/2006/custom-properties" xmlns:vt="http://schemas.openxmlformats.org/officeDocument/2006/docPropsVTypes"/>
</file>