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pPr>
      <w:r>
        <w:rPr>
          <w:b/>
          <w:bCs/>
          <w:i w:val="false"/>
          <w:iCs w:val="false"/>
          <w:color w:val="3B4A8C"/>
          <w:sz w:val="20"/>
          <w:szCs w:val="20"/>
        </w:rPr>
        <w:t xml:space="preserve">NEUROQAA.AI — INTERNAL ENGINEERING DOCUMENT</w:t>
      </w:r>
    </w:p>
    <w:p>
      <w:pPr>
        <w:spacing w:after="200"/>
      </w:pPr>
      <w:r>
        <w:rPr>
          <w:b/>
          <w:bCs/>
          <w:color w:val="1F2A5C"/>
          <w:sz w:val="56"/>
          <w:szCs w:val="56"/>
        </w:rPr>
        <w:t xml:space="preserve">POS Reconciliation &amp; Migration Plan</w:t>
      </w:r>
    </w:p>
    <w:p>
      <w:pPr>
        <w:spacing w:after="500"/>
      </w:pPr>
      <w:r>
        <w:rPr>
          <w:b w:val="false"/>
          <w:bCs w:val="false"/>
          <w:i w:val="false"/>
          <w:iCs w:val="false"/>
          <w:color w:val="5B5F6B"/>
          <w:sz w:val="25"/>
          <w:szCs w:val="25"/>
        </w:rPr>
        <w:t xml:space="preserve">How the in-house pos-system-GT codebase becomes the Neuroqaa POS — Restaurant Edition</w:t>
      </w:r>
    </w:p>
    <w:p>
      <w:pPr>
        <w:spacing w:after="90"/>
      </w:pPr>
      <w:r>
        <w:rPr>
          <w:b/>
          <w:bCs/>
          <w:color w:val="3B4A8C"/>
          <w:sz w:val="21"/>
          <w:szCs w:val="21"/>
        </w:rPr>
        <w:t xml:space="preserve">Prepared for:  </w:t>
      </w:r>
      <w:r>
        <w:rPr>
          <w:color w:val="222222"/>
          <w:sz w:val="21"/>
          <w:szCs w:val="21"/>
        </w:rPr>
        <w:t xml:space="preserve">Neuroqaa.ai delivery team — Product 1 (POS)</w:t>
      </w:r>
    </w:p>
    <w:p>
      <w:pPr>
        <w:spacing w:after="90"/>
      </w:pPr>
      <w:r>
        <w:rPr>
          <w:b/>
          <w:bCs/>
          <w:color w:val="3B4A8C"/>
          <w:sz w:val="21"/>
          <w:szCs w:val="21"/>
        </w:rPr>
        <w:t xml:space="preserve">Companion documents:  </w:t>
      </w:r>
      <w:r>
        <w:rPr>
          <w:color w:val="222222"/>
          <w:sz w:val="21"/>
          <w:szCs w:val="21"/>
        </w:rPr>
        <w:t xml:space="preserve">Neuroqaa POS — Technical SOW v2.0; “Client Spec vs. Our Scope” (internal review artifact)</w:t>
      </w:r>
    </w:p>
    <w:p>
      <w:pPr>
        <w:spacing w:after="90"/>
      </w:pPr>
      <w:r>
        <w:rPr>
          <w:b/>
          <w:bCs/>
          <w:color w:val="3B4A8C"/>
          <w:sz w:val="21"/>
          <w:szCs w:val="21"/>
        </w:rPr>
        <w:t xml:space="preserve">Source repository:  </w:t>
      </w:r>
      <w:r>
        <w:rPr>
          <w:color w:val="222222"/>
          <w:sz w:val="21"/>
          <w:szCs w:val="21"/>
        </w:rPr>
        <w:t xml:space="preserve">D:\Neuroqaa Stuff\POS System\pos-system-GT</w:t>
      </w:r>
    </w:p>
    <w:p>
      <w:pPr>
        <w:spacing w:after="90"/>
      </w:pPr>
      <w:r>
        <w:rPr>
          <w:b/>
          <w:bCs/>
          <w:color w:val="3B4A8C"/>
          <w:sz w:val="21"/>
          <w:szCs w:val="21"/>
        </w:rPr>
        <w:t xml:space="preserve">Document version:  </w:t>
      </w:r>
      <w:r>
        <w:rPr>
          <w:color w:val="222222"/>
          <w:sz w:val="21"/>
          <w:szCs w:val="21"/>
        </w:rPr>
        <w:t xml:space="preserve">1.0 — for engineering kickoff</w:t>
      </w:r>
    </w:p>
    <w:p>
      <w:r>
        <w:br w:type="page"/>
      </w:r>
    </w:p>
    <w:p>
      <w:pPr>
        <w:pStyle w:val="Heading1"/>
        <w:pBdr>
          <w:bottom w:val="single" w:color="C9CEDD" w:sz="6" w:space="4"/>
        </w:pBdr>
        <w:spacing w:after="200" w:before="420"/>
      </w:pPr>
      <w:r>
        <w:rPr>
          <w:b/>
          <w:bCs/>
          <w:color w:val="1F2A5C"/>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9CEDD" w:sz="6" w:space="4"/>
        </w:pBdr>
        <w:spacing w:after="200" w:before="420"/>
      </w:pPr>
      <w:r>
        <w:rPr>
          <w:b/>
          <w:bCs/>
          <w:color w:val="1F2A5C"/>
          <w:sz w:val="30"/>
          <w:szCs w:val="30"/>
        </w:rPr>
        <w:t xml:space="preserve">1. Purpose of This Document</w:t>
      </w:r>
    </w:p>
    <w:p>
      <w:pPr>
        <w:spacing w:after="160"/>
      </w:pPr>
      <w:r>
        <w:rPr>
          <w:b w:val="false"/>
          <w:bCs w:val="false"/>
          <w:i w:val="false"/>
          <w:iCs w:val="false"/>
          <w:color w:val="222222"/>
          <w:sz w:val="22"/>
          <w:szCs w:val="22"/>
        </w:rPr>
        <w:t xml:space="preserve">This is the working engineering plan for turning the existing pos-system-GT codebase into the restaurant edition scoped in the Technical SOW. It exists because three things have changed since the original architecture table was drafted: the codebase itself has grown substantially (khata/credit, returns, a rebuilt receipt engine, multi-language support, audit logging), the client sent their own requirements checklist which surfaced a handful of real scope gaps, and the team has since decided on how to resolve the largest of those gaps — most importantly, that the restaurant build should ship in both a cloud-hosted and an offline-capable mode, not cloud-only.</w:t>
      </w:r>
    </w:p>
    <w:p>
      <w:pPr>
        <w:spacing w:after="160"/>
      </w:pPr>
      <w:r>
        <w:rPr>
          <w:b w:val="false"/>
          <w:bCs w:val="false"/>
          <w:i w:val="false"/>
          <w:iCs w:val="false"/>
          <w:color w:val="222222"/>
          <w:sz w:val="22"/>
          <w:szCs w:val="22"/>
        </w:rPr>
        <w:t xml:space="preserve">Read this alongside the updated Technical SOW v2.0, which is the client-facing commitment. This document is the how; the SOW is the what and by when.</w:t>
      </w:r>
    </w:p>
    <w:p>
      <w:pPr>
        <w:pStyle w:val="Heading1"/>
        <w:pBdr>
          <w:bottom w:val="single" w:color="C9CEDD" w:sz="6" w:space="4"/>
        </w:pBdr>
        <w:spacing w:after="200" w:before="420"/>
      </w:pPr>
      <w:r>
        <w:rPr>
          <w:b/>
          <w:bCs/>
          <w:color w:val="1F2A5C"/>
          <w:sz w:val="30"/>
          <w:szCs w:val="30"/>
        </w:rPr>
        <w:t xml:space="preserve">2. Reconciled Scope Decisions</w:t>
      </w:r>
    </w:p>
    <w:p>
      <w:pPr>
        <w:spacing w:after="160"/>
      </w:pPr>
      <w:r>
        <w:rPr>
          <w:b w:val="false"/>
          <w:bCs w:val="false"/>
          <w:i w:val="false"/>
          <w:iCs w:val="false"/>
          <w:color w:val="222222"/>
          <w:sz w:val="22"/>
          <w:szCs w:val="22"/>
        </w:rPr>
        <w:t xml:space="preserve">The client's requirements checklist was compared line-by-line against the original SOW and the current repository (full detail in the internal artifact “Client Spec vs. Our Scope”). Six points needed a team decision before this plan could be written. Their resolutions, as decided this week, are below.</w:t>
      </w:r>
    </w:p>
    <w:tbl>
      <w:tblPr>
        <w:tblW w:type="dxa" w:w="9350"/>
        <w:tblBorders>
          <w:top w:val="single" w:color="C9CEDD" w:sz="4"/>
          <w:left w:val="single" w:color="C9CEDD" w:sz="4"/>
          <w:bottom w:val="single" w:color="C9CEDD" w:sz="4"/>
          <w:right w:val="single" w:color="C9CEDD" w:sz="4"/>
          <w:insideH w:val="single" w:color="C9CEDD" w:sz="4"/>
          <w:insideV w:val="single" w:color="C9CEDD" w:sz="4"/>
        </w:tblBorders>
      </w:tblPr>
      <w:tblGrid>
        <w:gridCol w:w="500"/>
        <w:gridCol w:w="3400"/>
        <w:gridCol w:w="3900"/>
        <w:gridCol w:w="1550"/>
      </w:tblGrid>
      <w:tr>
        <w:trPr>
          <w:tblHeader/>
        </w:trPr>
        <w:tc>
          <w:tcPr>
            <w:tcW w:type="dxa" w:w="50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w:t>
            </w:r>
          </w:p>
        </w:tc>
        <w:tc>
          <w:tcPr>
            <w:tcW w:type="dxa" w:w="340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Decision</w:t>
            </w:r>
          </w:p>
        </w:tc>
        <w:tc>
          <w:tcPr>
            <w:tcW w:type="dxa" w:w="390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Resolution</w:t>
            </w:r>
          </w:p>
        </w:tc>
        <w:tc>
          <w:tcPr>
            <w:tcW w:type="dxa" w:w="155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Status</w:t>
            </w:r>
          </w:p>
        </w:tc>
      </w:tr>
      <w:tr>
        <w:trPr>
          <w:cantSplit/>
        </w:trPr>
        <w:tc>
          <w:tcPr>
            <w:tcW w:type="dxa" w:w="500"/>
            <w:tcMar>
              <w:top w:type="dxa" w:w="90"/>
              <w:left w:type="dxa" w:w="110"/>
              <w:bottom w:type="dxa" w:w="90"/>
              <w:right w:type="dxa" w:w="110"/>
            </w:tcMar>
            <w:vAlign w:val="top"/>
          </w:tcPr>
          <w:p>
            <w:pPr>
              <w:jc w:val="left"/>
            </w:pPr>
            <w:r>
              <w:rPr>
                <w:b w:val="false"/>
                <w:bCs w:val="false"/>
                <w:i w:val="false"/>
                <w:iCs w:val="false"/>
                <w:color w:val="222222"/>
                <w:sz w:val="20"/>
                <w:szCs w:val="20"/>
              </w:rPr>
              <w:t xml:space="preserve">1</w:t>
            </w:r>
          </w:p>
        </w:tc>
        <w:tc>
          <w:tcPr>
            <w:tcW w:type="dxa" w:w="3400"/>
            <w:tcMar>
              <w:top w:type="dxa" w:w="90"/>
              <w:left w:type="dxa" w:w="110"/>
              <w:bottom w:type="dxa" w:w="90"/>
              <w:right w:type="dxa" w:w="110"/>
            </w:tcMar>
            <w:vAlign w:val="top"/>
          </w:tcPr>
          <w:p>
            <w:pPr>
              <w:jc w:val="left"/>
            </w:pPr>
            <w:r>
              <w:rPr>
                <w:b w:val="false"/>
                <w:bCs w:val="false"/>
                <w:i w:val="false"/>
                <w:iCs w:val="false"/>
                <w:color w:val="222222"/>
                <w:sz w:val="20"/>
                <w:szCs w:val="20"/>
              </w:rPr>
              <w:t xml:space="preserve">Offline vs. cloud-only deployment</w:t>
            </w:r>
          </w:p>
        </w:tc>
        <w:tc>
          <w:tcPr>
            <w:tcW w:type="dxa" w:w="3900"/>
            <w:tcMar>
              <w:top w:type="dxa" w:w="90"/>
              <w:left w:type="dxa" w:w="110"/>
              <w:bottom w:type="dxa" w:w="90"/>
              <w:right w:type="dxa" w:w="110"/>
            </w:tcMar>
            <w:vAlign w:val="top"/>
          </w:tcPr>
          <w:p>
            <w:pPr>
              <w:jc w:val="left"/>
            </w:pPr>
            <w:r>
              <w:rPr>
                <w:b w:val="false"/>
                <w:bCs w:val="false"/>
                <w:i w:val="false"/>
                <w:iCs w:val="false"/>
                <w:color w:val="222222"/>
                <w:sz w:val="20"/>
                <w:szCs w:val="20"/>
              </w:rPr>
              <w:t xml:space="preserve">Ship both: a cloud-hosted mode and an offline-capable mode, sharing one domain model. Section 4 of this document is the design for this.</w:t>
            </w:r>
          </w:p>
        </w:tc>
        <w:tc>
          <w:tcPr>
            <w:tcW w:type="dxa" w:w="1550"/>
            <w:shd w:fill="E5F3E8" w:val="clear"/>
            <w:tcMar>
              <w:top w:type="dxa" w:w="90"/>
              <w:left w:type="dxa" w:w="110"/>
              <w:bottom w:type="dxa" w:w="90"/>
              <w:right w:type="dxa" w:w="110"/>
            </w:tcMar>
            <w:vAlign w:val="top"/>
          </w:tcPr>
          <w:p>
            <w:pPr>
              <w:jc w:val="left"/>
            </w:pPr>
            <w:r>
              <w:rPr>
                <w:b/>
                <w:bCs/>
                <w:i w:val="false"/>
                <w:iCs w:val="false"/>
                <w:color w:val="1E6B34"/>
                <w:sz w:val="20"/>
                <w:szCs w:val="20"/>
              </w:rPr>
              <w:t xml:space="preserve">Decided</w:t>
            </w:r>
          </w:p>
        </w:tc>
      </w:tr>
      <w:tr>
        <w:trPr>
          <w:cantSplit/>
        </w:trPr>
        <w:tc>
          <w:tcPr>
            <w:tcW w:type="dxa" w:w="5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2</w:t>
            </w:r>
          </w:p>
        </w:tc>
        <w:tc>
          <w:tcPr>
            <w:tcW w:type="dxa" w:w="34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Delivery-order support</w:t>
            </w:r>
          </w:p>
        </w:tc>
        <w:tc>
          <w:tcPr>
            <w:tcW w:type="dxa" w:w="39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Include a basic in-house delivery-order module in Phase 1 (order creation, zones/charges, address capture, status tracking). Full third-party aggregator API integration stays Phase 2.</w:t>
            </w:r>
          </w:p>
        </w:tc>
        <w:tc>
          <w:tcPr>
            <w:tcW w:type="dxa" w:w="1550"/>
            <w:shd w:fill="E5F3E8" w:val="clear"/>
            <w:tcMar>
              <w:top w:type="dxa" w:w="90"/>
              <w:left w:type="dxa" w:w="110"/>
              <w:bottom w:type="dxa" w:w="90"/>
              <w:right w:type="dxa" w:w="110"/>
            </w:tcMar>
            <w:vAlign w:val="top"/>
          </w:tcPr>
          <w:p>
            <w:pPr>
              <w:jc w:val="left"/>
            </w:pPr>
            <w:r>
              <w:rPr>
                <w:b/>
                <w:bCs/>
                <w:i w:val="false"/>
                <w:iCs w:val="false"/>
                <w:color w:val="1E6B34"/>
                <w:sz w:val="20"/>
                <w:szCs w:val="20"/>
              </w:rPr>
              <w:t xml:space="preserve">Decided</w:t>
            </w:r>
          </w:p>
        </w:tc>
      </w:tr>
      <w:tr>
        <w:trPr>
          <w:cantSplit/>
        </w:trPr>
        <w:tc>
          <w:tcPr>
            <w:tcW w:type="dxa" w:w="500"/>
            <w:tcMar>
              <w:top w:type="dxa" w:w="90"/>
              <w:left w:type="dxa" w:w="110"/>
              <w:bottom w:type="dxa" w:w="90"/>
              <w:right w:type="dxa" w:w="110"/>
            </w:tcMar>
            <w:vAlign w:val="top"/>
          </w:tcPr>
          <w:p>
            <w:pPr>
              <w:jc w:val="left"/>
            </w:pPr>
            <w:r>
              <w:rPr>
                <w:b w:val="false"/>
                <w:bCs w:val="false"/>
                <w:i w:val="false"/>
                <w:iCs w:val="false"/>
                <w:color w:val="222222"/>
                <w:sz w:val="20"/>
                <w:szCs w:val="20"/>
              </w:rPr>
              <w:t xml:space="preserve">3</w:t>
            </w:r>
          </w:p>
        </w:tc>
        <w:tc>
          <w:tcPr>
            <w:tcW w:type="dxa" w:w="3400"/>
            <w:tcMar>
              <w:top w:type="dxa" w:w="90"/>
              <w:left w:type="dxa" w:w="110"/>
              <w:bottom w:type="dxa" w:w="90"/>
              <w:right w:type="dxa" w:w="110"/>
            </w:tcMar>
            <w:vAlign w:val="top"/>
          </w:tcPr>
          <w:p>
            <w:pPr>
              <w:jc w:val="left"/>
            </w:pPr>
            <w:r>
              <w:rPr>
                <w:b w:val="false"/>
                <w:bCs w:val="false"/>
                <w:i w:val="false"/>
                <w:iCs w:val="false"/>
                <w:color w:val="222222"/>
                <w:sz w:val="20"/>
                <w:szCs w:val="20"/>
              </w:rPr>
              <w:t xml:space="preserve">Multi-branch admin</w:t>
            </w:r>
          </w:p>
        </w:tc>
        <w:tc>
          <w:tcPr>
            <w:tcW w:type="dxa" w:w="3900"/>
            <w:tcMar>
              <w:top w:type="dxa" w:w="90"/>
              <w:left w:type="dxa" w:w="110"/>
              <w:bottom w:type="dxa" w:w="90"/>
              <w:right w:type="dxa" w:w="110"/>
            </w:tcMar>
            <w:vAlign w:val="top"/>
          </w:tcPr>
          <w:p>
            <w:pPr>
              <w:jc w:val="left"/>
            </w:pPr>
            <w:r>
              <w:rPr>
                <w:b w:val="false"/>
                <w:bCs w:val="false"/>
                <w:i w:val="false"/>
                <w:iCs w:val="false"/>
                <w:color w:val="222222"/>
                <w:sz w:val="20"/>
                <w:szCs w:val="20"/>
              </w:rPr>
              <w:t xml:space="preserve">Treated as forward-looking, not a launch requirement. No Phase 1 build; data model kept from blocking it later (tenant_id scaffold already does this).</w:t>
            </w:r>
          </w:p>
        </w:tc>
        <w:tc>
          <w:tcPr>
            <w:tcW w:type="dxa" w:w="1550"/>
            <w:shd w:fill="FCEFD9" w:val="clear"/>
            <w:tcMar>
              <w:top w:type="dxa" w:w="90"/>
              <w:left w:type="dxa" w:w="110"/>
              <w:bottom w:type="dxa" w:w="90"/>
              <w:right w:type="dxa" w:w="110"/>
            </w:tcMar>
            <w:vAlign w:val="top"/>
          </w:tcPr>
          <w:p>
            <w:pPr>
              <w:jc w:val="left"/>
            </w:pPr>
            <w:r>
              <w:rPr>
                <w:b w:val="false"/>
                <w:bCs w:val="false"/>
                <w:i w:val="false"/>
                <w:iCs w:val="false"/>
                <w:color w:val="8A5A00"/>
                <w:sz w:val="20"/>
                <w:szCs w:val="20"/>
              </w:rPr>
              <w:t xml:space="preserve">Assumed — confirm with client</w:t>
            </w:r>
          </w:p>
        </w:tc>
      </w:tr>
      <w:tr>
        <w:trPr>
          <w:cantSplit/>
        </w:trPr>
        <w:tc>
          <w:tcPr>
            <w:tcW w:type="dxa" w:w="5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4</w:t>
            </w:r>
          </w:p>
        </w:tc>
        <w:tc>
          <w:tcPr>
            <w:tcW w:type="dxa" w:w="34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Ingredient-level inventory &amp; recipe costing</w:t>
            </w:r>
          </w:p>
        </w:tc>
        <w:tc>
          <w:tcPr>
            <w:tcW w:type="dxa" w:w="39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Phase 2. Phase 1 keeps finished-item availability toggling only, as originally scoped.</w:t>
            </w:r>
          </w:p>
        </w:tc>
        <w:tc>
          <w:tcPr>
            <w:tcW w:type="dxa" w:w="1550"/>
            <w:shd w:fill="FCEFD9" w:val="clear"/>
            <w:tcMar>
              <w:top w:type="dxa" w:w="90"/>
              <w:left w:type="dxa" w:w="110"/>
              <w:bottom w:type="dxa" w:w="90"/>
              <w:right w:type="dxa" w:w="110"/>
            </w:tcMar>
            <w:vAlign w:val="top"/>
          </w:tcPr>
          <w:p>
            <w:pPr>
              <w:jc w:val="left"/>
            </w:pPr>
            <w:r>
              <w:rPr>
                <w:b w:val="false"/>
                <w:bCs w:val="false"/>
                <w:i w:val="false"/>
                <w:iCs w:val="false"/>
                <w:color w:val="8A5A00"/>
                <w:sz w:val="20"/>
                <w:szCs w:val="20"/>
              </w:rPr>
              <w:t xml:space="preserve">Assumed — confirm with client</w:t>
            </w:r>
          </w:p>
        </w:tc>
      </w:tr>
      <w:tr>
        <w:trPr>
          <w:cantSplit/>
        </w:trPr>
        <w:tc>
          <w:tcPr>
            <w:tcW w:type="dxa" w:w="500"/>
            <w:tcMar>
              <w:top w:type="dxa" w:w="90"/>
              <w:left w:type="dxa" w:w="110"/>
              <w:bottom w:type="dxa" w:w="90"/>
              <w:right w:type="dxa" w:w="110"/>
            </w:tcMar>
            <w:vAlign w:val="top"/>
          </w:tcPr>
          <w:p>
            <w:pPr>
              <w:jc w:val="left"/>
            </w:pPr>
            <w:r>
              <w:rPr>
                <w:b w:val="false"/>
                <w:bCs w:val="false"/>
                <w:i w:val="false"/>
                <w:iCs w:val="false"/>
                <w:color w:val="222222"/>
                <w:sz w:val="20"/>
                <w:szCs w:val="20"/>
              </w:rPr>
              <w:t xml:space="preserve">5</w:t>
            </w:r>
          </w:p>
        </w:tc>
        <w:tc>
          <w:tcPr>
            <w:tcW w:type="dxa" w:w="3400"/>
            <w:tcMar>
              <w:top w:type="dxa" w:w="90"/>
              <w:left w:type="dxa" w:w="110"/>
              <w:bottom w:type="dxa" w:w="90"/>
              <w:right w:type="dxa" w:w="110"/>
            </w:tcMar>
            <w:vAlign w:val="top"/>
          </w:tcPr>
          <w:p>
            <w:pPr>
              <w:jc w:val="left"/>
            </w:pPr>
            <w:r>
              <w:rPr>
                <w:b w:val="false"/>
                <w:bCs w:val="false"/>
                <w:i w:val="false"/>
                <w:iCs w:val="false"/>
                <w:color w:val="222222"/>
                <w:sz w:val="20"/>
                <w:szCs w:val="20"/>
              </w:rPr>
              <w:t xml:space="preserve">HR / biometric attendance integration</w:t>
            </w:r>
          </w:p>
        </w:tc>
        <w:tc>
          <w:tcPr>
            <w:tcW w:type="dxa" w:w="3900"/>
            <w:tcMar>
              <w:top w:type="dxa" w:w="90"/>
              <w:left w:type="dxa" w:w="110"/>
              <w:bottom w:type="dxa" w:w="90"/>
              <w:right w:type="dxa" w:w="110"/>
            </w:tcMar>
            <w:vAlign w:val="top"/>
          </w:tcPr>
          <w:p>
            <w:pPr>
              <w:jc w:val="left"/>
            </w:pPr>
            <w:r>
              <w:rPr>
                <w:b w:val="false"/>
                <w:bCs w:val="false"/>
                <w:i w:val="false"/>
                <w:iCs w:val="false"/>
                <w:color w:val="222222"/>
                <w:sz w:val="20"/>
                <w:szCs w:val="20"/>
              </w:rPr>
              <w:t xml:space="preserve">No build in Phase 1. Ask the client which system, if any, they mean before scoping anything.</w:t>
            </w:r>
          </w:p>
        </w:tc>
        <w:tc>
          <w:tcPr>
            <w:tcW w:type="dxa" w:w="1550"/>
            <w:shd w:fill="FCEFD9" w:val="clear"/>
            <w:tcMar>
              <w:top w:type="dxa" w:w="90"/>
              <w:left w:type="dxa" w:w="110"/>
              <w:bottom w:type="dxa" w:w="90"/>
              <w:right w:type="dxa" w:w="110"/>
            </w:tcMar>
            <w:vAlign w:val="top"/>
          </w:tcPr>
          <w:p>
            <w:pPr>
              <w:jc w:val="left"/>
            </w:pPr>
            <w:r>
              <w:rPr>
                <w:b w:val="false"/>
                <w:bCs w:val="false"/>
                <w:i w:val="false"/>
                <w:iCs w:val="false"/>
                <w:color w:val="8A5A00"/>
                <w:sz w:val="20"/>
                <w:szCs w:val="20"/>
              </w:rPr>
              <w:t xml:space="preserve">Needs client answer</w:t>
            </w:r>
          </w:p>
        </w:tc>
      </w:tr>
      <w:tr>
        <w:trPr>
          <w:cantSplit/>
        </w:trPr>
        <w:tc>
          <w:tcPr>
            <w:tcW w:type="dxa" w:w="5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6</w:t>
            </w:r>
          </w:p>
        </w:tc>
        <w:tc>
          <w:tcPr>
            <w:tcW w:type="dxa" w:w="34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Guest QR-ordering — confirm it's still wanted</w:t>
            </w:r>
          </w:p>
        </w:tc>
        <w:tc>
          <w:tcPr>
            <w:tcW w:type="dxa" w:w="39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Proceeding as originally scoped (guest scans table QR, orders from own phone). Get an explicit one-line confirmation from the client since their document never names this flow directly.</w:t>
            </w:r>
          </w:p>
        </w:tc>
        <w:tc>
          <w:tcPr>
            <w:tcW w:type="dxa" w:w="1550"/>
            <w:shd w:fill="FCEFD9" w:val="clear"/>
            <w:tcMar>
              <w:top w:type="dxa" w:w="90"/>
              <w:left w:type="dxa" w:w="110"/>
              <w:bottom w:type="dxa" w:w="90"/>
              <w:right w:type="dxa" w:w="110"/>
            </w:tcMar>
            <w:vAlign w:val="top"/>
          </w:tcPr>
          <w:p>
            <w:pPr>
              <w:jc w:val="left"/>
            </w:pPr>
            <w:r>
              <w:rPr>
                <w:b w:val="false"/>
                <w:bCs w:val="false"/>
                <w:i w:val="false"/>
                <w:iCs w:val="false"/>
                <w:color w:val="8A5A00"/>
                <w:sz w:val="20"/>
                <w:szCs w:val="20"/>
              </w:rPr>
              <w:t xml:space="preserve">Needs client answer</w:t>
            </w:r>
          </w:p>
        </w:tc>
      </w:tr>
    </w:tbl>
    <w:p>
      <w:pPr>
        <w:spacing w:after="80"/>
      </w:pPr>
      <w:r>
        <w:rPr>
          <w:b w:val="false"/>
          <w:bCs w:val="false"/>
          <w:i w:val="false"/>
          <w:iCs w:val="false"/>
          <w:color w:val="222222"/>
          <w:sz w:val="22"/>
          <w:szCs w:val="22"/>
        </w:rPr>
        <w:t xml:space="preserve"/>
      </w:r>
    </w:p>
    <w:tbl>
      <w:tblPr>
        <w:tblW w:type="dxa" w:w="9350"/>
        <w:tblBorders>
          <w:top w:val="single" w:color="8A5A00" w:sz="4"/>
          <w:left w:val="single" w:color="8A5A00" w:sz="16"/>
          <w:bottom w:val="single" w:color="8A5A00" w:sz="4"/>
          <w:right w:val="single" w:color="8A5A00" w:sz="4"/>
          <w:insideH w:val="none" w:color="FFFFFF" w:sz="0"/>
          <w:insideV w:val="none" w:color="FFFFFF" w:sz="0"/>
        </w:tblBorders>
      </w:tblPr>
      <w:tblGrid>
        <w:gridCol w:w="9350"/>
      </w:tblGrid>
      <w:tr>
        <w:tc>
          <w:tcPr>
            <w:tcW w:type="dxa" w:w="9350"/>
            <w:shd w:fill="FCEFD9" w:val="clear"/>
            <w:tcMar>
              <w:top w:type="dxa" w:w="140"/>
              <w:left w:type="dxa" w:w="180"/>
              <w:bottom w:type="dxa" w:w="140"/>
              <w:right w:type="dxa" w:w="180"/>
            </w:tcMar>
          </w:tcPr>
          <w:p>
            <w:pPr>
              <w:spacing w:after="60"/>
            </w:pPr>
            <w:r>
              <w:rPr>
                <w:b/>
                <w:bCs/>
                <w:color w:val="8A5A00"/>
                <w:sz w:val="19"/>
                <w:szCs w:val="19"/>
              </w:rPr>
              <w:t xml:space="preserve">Reading the status column</w:t>
            </w:r>
          </w:p>
          <w:p>
            <w:pPr>
              <w:spacing w:after="0"/>
            </w:pPr>
            <w:r>
              <w:rPr>
                <w:color w:val="222222"/>
                <w:sz w:val="21"/>
                <w:szCs w:val="21"/>
              </w:rPr>
              <w:t xml:space="preserve">“Decided” items are reflected in this plan and in SOW v2.0 as committed scope. “Assumed” and “Needs client answer” items are built into the plan on the stated assumption, but should be confirmed with the client before Week 2 — if any answer comes back differently, treat it as a change request against SOW v2.0, the same discipline the team already agreed to.</w:t>
            </w:r>
          </w:p>
        </w:tc>
      </w:tr>
    </w:tbl>
    <w:p>
      <w:pPr>
        <w:pStyle w:val="Heading1"/>
        <w:pBdr>
          <w:bottom w:val="single" w:color="C9CEDD" w:sz="6" w:space="4"/>
        </w:pBdr>
        <w:spacing w:after="200" w:before="420"/>
      </w:pPr>
      <w:r>
        <w:rPr>
          <w:b/>
          <w:bCs/>
          <w:color w:val="1F2A5C"/>
          <w:sz w:val="30"/>
          <w:szCs w:val="30"/>
        </w:rPr>
        <w:t xml:space="preserve">3. What the Current Codebase Actually Gives Us</w:t>
      </w:r>
    </w:p>
    <w:p>
      <w:pPr>
        <w:spacing w:after="160"/>
      </w:pPr>
      <w:r>
        <w:rPr>
          <w:b w:val="false"/>
          <w:bCs w:val="false"/>
          <w:i w:val="false"/>
          <w:iCs w:val="false"/>
          <w:color w:val="222222"/>
          <w:sz w:val="22"/>
          <w:szCs w:val="22"/>
        </w:rPr>
        <w:t xml:space="preserve">The repository was re-reviewed against its current working tree, not the earlier snapshot the original SOW's architecture table was based on. Two things stand out. First, the domain model is still fundamentally retail: there is no tables, reservations, kitchen-order-lifecycle, menu-modifier, WhatsApp, or ZATCA concept anywhere in the code — confirmed by a full-repository search. The original plan (“keep the chassis, rebuild Sale into an order lifecycle, add tables/menu/reservations/WhatsApp/ZATCA as new apps”) is still the correct plan. Second, several genuinely reusable modules have been added since the original review that reduce how much of that plan is truly new-build.</w:t>
      </w:r>
    </w:p>
    <w:p>
      <w:pPr>
        <w:pStyle w:val="Heading2"/>
        <w:spacing w:after="140" w:before="320"/>
      </w:pPr>
      <w:r>
        <w:rPr>
          <w:b/>
          <w:bCs/>
          <w:color w:val="3B4A8C"/>
          <w:sz w:val="25"/>
          <w:szCs w:val="25"/>
        </w:rPr>
        <w:t xml:space="preserve">3.1 New since the original review — directly reusable</w:t>
      </w:r>
    </w:p>
    <w:p>
      <w:pPr>
        <w:pStyle w:val="ListParagraph"/>
        <w:numPr>
          <w:ilvl w:val="0"/>
          <w:numId w:val="1"/>
        </w:numPr>
        <w:spacing w:after="90"/>
      </w:pPr>
      <w:r>
        <w:rPr>
          <w:b/>
          <w:bCs/>
        </w:rPr>
        <w:t xml:space="preserve">Khata (running-balance) module </w:t>
      </w:r>
      <w:r>
        <w:t xml:space="preserve">— customer-level partial payment, credit, and balance-due tracking. Covers the billing counter's deposit/partial-payment requirement without a new domain model.</w:t>
      </w:r>
    </w:p>
    <w:p>
      <w:pPr>
        <w:pStyle w:val="ListParagraph"/>
        <w:numPr>
          <w:ilvl w:val="0"/>
          <w:numId w:val="1"/>
        </w:numPr>
        <w:spacing w:after="90"/>
      </w:pPr>
      <w:r>
        <w:rPr>
          <w:b/>
          <w:bCs/>
        </w:rPr>
        <w:t xml:space="preserve">Mature void / return flow </w:t>
      </w:r>
      <w:r>
        <w:t xml:space="preserve">— authorized voids and full sale returns (SaleType.RETURN, voided_by/voided_at) are tested and in production use. Reused as-is for order voids/refunds.</w:t>
      </w:r>
    </w:p>
    <w:p>
      <w:pPr>
        <w:pStyle w:val="ListParagraph"/>
        <w:numPr>
          <w:ilvl w:val="0"/>
          <w:numId w:val="1"/>
        </w:numPr>
        <w:spacing w:after="90"/>
      </w:pPr>
      <w:r>
        <w:rPr>
          <w:b/>
          <w:bCs/>
        </w:rPr>
        <w:t xml:space="preserve">Phase 8A receipt engine </w:t>
      </w:r>
      <w:r>
        <w:t xml:space="preserve">— a single ReceiptContext feeding A4, A5, 80mm-thermal, and browser-HTML renderers, with QR codes already embedded and 20 passing tests. This is a stronger foundation than the original SOW assumed; extending it for bilingual Arabic/English and ZATCA QR content is additive, not a rebuild.</w:t>
      </w:r>
    </w:p>
    <w:p>
      <w:pPr>
        <w:pStyle w:val="ListParagraph"/>
        <w:numPr>
          <w:ilvl w:val="0"/>
          <w:numId w:val="1"/>
        </w:numPr>
        <w:spacing w:after="90"/>
      </w:pPr>
      <w:r>
        <w:rPr>
          <w:b/>
          <w:bCs/>
        </w:rPr>
        <w:t xml:space="preserve">Shift &amp; cash reconciliation, Audit/Activity log pages </w:t>
      </w:r>
      <w:r>
        <w:t xml:space="preserve">— already production-grade; reused directly for the billing counter and floor-manager reporting.</w:t>
      </w:r>
    </w:p>
    <w:p>
      <w:pPr>
        <w:pStyle w:val="ListParagraph"/>
        <w:numPr>
          <w:ilvl w:val="0"/>
          <w:numId w:val="1"/>
        </w:numPr>
        <w:spacing w:after="90"/>
      </w:pPr>
      <w:r>
        <w:rPr>
          <w:b/>
          <w:bCs/>
        </w:rPr>
        <w:t xml:space="preserve">Multi-language EN/Urdu + RTL framework </w:t>
      </w:r>
      <w:r>
        <w:t xml:space="preserve">— a working Zustand + localStorage i18n layer with automatic right-to-left layout. Arabic support becomes a new translation file and font (e.g. Noto Sans Arabic in place of Noto Sans Urdu), not new plumbing. Meaningfully shrinks the ZATCA/localization workstream.</w:t>
      </w:r>
    </w:p>
    <w:p>
      <w:pPr>
        <w:pStyle w:val="Heading2"/>
        <w:spacing w:after="140" w:before="320"/>
      </w:pPr>
      <w:r>
        <w:rPr>
          <w:b/>
          <w:bCs/>
          <w:color w:val="3B4A8C"/>
          <w:sz w:val="25"/>
          <w:szCs w:val="25"/>
        </w:rPr>
        <w:t xml:space="preserve">3.2 Present in the repo but not relevant to this build</w:t>
      </w:r>
    </w:p>
    <w:p>
      <w:pPr>
        <w:pStyle w:val="ListParagraph"/>
        <w:numPr>
          <w:ilvl w:val="0"/>
          <w:numId w:val="1"/>
        </w:numPr>
        <w:spacing w:after="90"/>
      </w:pPr>
      <w:r>
        <w:rPr>
          <w:color w:val="222222"/>
          <w:sz w:val="22"/>
          <w:szCs w:val="22"/>
        </w:rPr>
        <w:t xml:space="preserve">Quotations module — a retail quote/estimate flow with no restaurant equivalent; leave untouched, do not port.</w:t>
      </w:r>
    </w:p>
    <w:p>
      <w:pPr>
        <w:pStyle w:val="ListParagraph"/>
        <w:numPr>
          <w:ilvl w:val="0"/>
          <w:numId w:val="1"/>
        </w:numPr>
        <w:spacing w:after="90"/>
      </w:pPr>
      <w:r>
        <w:rPr>
          <w:color w:val="222222"/>
          <w:sz w:val="22"/>
          <w:szCs w:val="22"/>
        </w:rPr>
        <w:t xml:space="preserve">Two cosmetic vertical re-skins (a CCTV-equipment-shop theme and a kids'-clothing-shop theme) built for other pilot clients on the same codebase — confirmed as branding/theme branches only, no functional logic to reuse or avoid.</w:t>
      </w:r>
    </w:p>
    <w:p>
      <w:pPr>
        <w:pStyle w:val="Heading2"/>
        <w:spacing w:after="140" w:before="320"/>
      </w:pPr>
      <w:r>
        <w:rPr>
          <w:b/>
          <w:bCs/>
          <w:color w:val="3B4A8C"/>
          <w:sz w:val="25"/>
          <w:szCs w:val="25"/>
        </w:rPr>
        <w:t xml:space="preserve">3.3 Still fundamentally missing (confirmed by repository search)</w:t>
      </w:r>
    </w:p>
    <w:p>
      <w:pPr>
        <w:pStyle w:val="ListParagraph"/>
        <w:numPr>
          <w:ilvl w:val="0"/>
          <w:numId w:val="1"/>
        </w:numPr>
        <w:spacing w:after="90"/>
      </w:pPr>
      <w:r>
        <w:rPr>
          <w:color w:val="222222"/>
          <w:sz w:val="22"/>
          <w:szCs w:val="22"/>
        </w:rPr>
        <w:t xml:space="preserve">Tables, reservations, floor/seating status — no app, no models.</w:t>
      </w:r>
    </w:p>
    <w:p>
      <w:pPr>
        <w:pStyle w:val="ListParagraph"/>
        <w:numPr>
          <w:ilvl w:val="0"/>
          <w:numId w:val="1"/>
        </w:numPr>
        <w:spacing w:after="90"/>
      </w:pPr>
      <w:r>
        <w:rPr>
          <w:color w:val="222222"/>
          <w:sz w:val="22"/>
          <w:szCs w:val="22"/>
        </w:rPr>
        <w:t xml:space="preserve">Menu with modifier groups, portion sizes, 86'ing, meal-period/date scheduling — the current catalog app is a flat product list with no modifier or scheduling concept.</w:t>
      </w:r>
    </w:p>
    <w:p>
      <w:pPr>
        <w:pStyle w:val="ListParagraph"/>
        <w:numPr>
          <w:ilvl w:val="0"/>
          <w:numId w:val="1"/>
        </w:numPr>
        <w:spacing w:after="90"/>
      </w:pPr>
      <w:r>
        <w:rPr>
          <w:color w:val="222222"/>
          <w:sz w:val="22"/>
          <w:szCs w:val="22"/>
        </w:rPr>
        <w:t xml:space="preserve">Order lifecycle (placed → kitchen-confirmed → preparing → ready → served) — Sale is still a single atomic transaction, not a stateful, long-lived object.</w:t>
      </w:r>
    </w:p>
    <w:p>
      <w:pPr>
        <w:pStyle w:val="ListParagraph"/>
        <w:numPr>
          <w:ilvl w:val="0"/>
          <w:numId w:val="1"/>
        </w:numPr>
        <w:spacing w:after="90"/>
      </w:pPr>
      <w:r>
        <w:rPr>
          <w:color w:val="222222"/>
          <w:sz w:val="22"/>
          <w:szCs w:val="22"/>
        </w:rPr>
        <w:t xml:space="preserve">Kitchen-facing display / order-confirmation queue, real-time sync between counters.</w:t>
      </w:r>
    </w:p>
    <w:p>
      <w:pPr>
        <w:pStyle w:val="ListParagraph"/>
        <w:numPr>
          <w:ilvl w:val="0"/>
          <w:numId w:val="1"/>
        </w:numPr>
        <w:spacing w:after="90"/>
      </w:pPr>
      <w:r>
        <w:rPr>
          <w:color w:val="222222"/>
          <w:sz w:val="22"/>
          <w:szCs w:val="22"/>
        </w:rPr>
        <w:t xml:space="preserve">WhatsApp concierge, ZATCA e-invoicing, SAR/halala currency handling — the money layer is still paise/Rs (Pakistan), not halala/SAR.</w:t>
      </w:r>
    </w:p>
    <w:p>
      <w:pPr>
        <w:pStyle w:val="ListParagraph"/>
        <w:numPr>
          <w:ilvl w:val="0"/>
          <w:numId w:val="1"/>
        </w:numPr>
        <w:spacing w:after="90"/>
      </w:pPr>
      <w:r>
        <w:rPr>
          <w:color w:val="222222"/>
          <w:sz w:val="22"/>
          <w:szCs w:val="22"/>
        </w:rPr>
        <w:t xml:space="preserve">Any offline-capable sync layer for anything beyond the original retail Sale/Product domain (see Section 4 — this is the one gap that changed size this week).</w:t>
      </w:r>
    </w:p>
    <w:p>
      <w:pPr>
        <w:pStyle w:val="Heading1"/>
        <w:pBdr>
          <w:bottom w:val="single" w:color="C9CEDD" w:sz="6" w:space="4"/>
        </w:pBdr>
        <w:spacing w:after="200" w:before="420"/>
      </w:pPr>
      <w:r>
        <w:rPr>
          <w:b/>
          <w:bCs/>
          <w:color w:val="1F2A5C"/>
          <w:sz w:val="30"/>
          <w:szCs w:val="30"/>
        </w:rPr>
        <w:t xml:space="preserve">4. Deployment Architecture: Cloud + Offline, One Domain Model</w:t>
      </w:r>
    </w:p>
    <w:p>
      <w:pPr>
        <w:spacing w:after="160"/>
      </w:pPr>
      <w:r>
        <w:rPr>
          <w:b w:val="false"/>
          <w:bCs w:val="false"/>
          <w:i w:val="false"/>
          <w:iCs w:val="false"/>
          <w:color w:val="222222"/>
          <w:sz w:val="22"/>
          <w:szCs w:val="22"/>
        </w:rPr>
        <w:t xml:space="preserve">This is the section that changed most since the original SOW. The original plan retired the desktop/offline path entirely and went cloud-only. The team has now decided to ship both a cloud-hosted mode and an offline-capable mode for the restaurant build — closer to what the client's checklist actually asked for, and closer to what the existing codebase was already built to do.</w:t>
      </w:r>
    </w:p>
    <w:p>
      <w:pPr>
        <w:pStyle w:val="Heading2"/>
        <w:spacing w:after="140" w:before="320"/>
      </w:pPr>
      <w:r>
        <w:rPr>
          <w:b/>
          <w:bCs/>
          <w:color w:val="3B4A8C"/>
          <w:sz w:val="25"/>
          <w:szCs w:val="25"/>
        </w:rPr>
        <w:t xml:space="preserve">4.1 What already exists and can be reused directly</w:t>
      </w:r>
    </w:p>
    <w:p>
      <w:pPr>
        <w:spacing w:after="160"/>
      </w:pPr>
      <w:r>
        <w:rPr>
          <w:b w:val="false"/>
          <w:bCs w:val="false"/>
          <w:i w:val="false"/>
          <w:iCs w:val="false"/>
          <w:color w:val="222222"/>
          <w:sz w:val="22"/>
          <w:szCs w:val="22"/>
        </w:rPr>
        <w:t xml:space="preserve">The dual-mode split is not new to this codebase — it's the reason the project is described as “a dual-mode Point of Sale system” in its own README. Three Django settings modules already exist and are proven: config.settings.desktop (SQLite, fully offline), config.settings.dev / config.settings.cloud (PostgreSQL). The retail Sale/Product/Inventory domain already runs correctly in both modes today. The Tauri desktop shell exists as the offline client target. None of this needs to be rebuilt — it needs to be extended to cover the new restaurant domain apps.</w:t>
      </w:r>
    </w:p>
    <w:p>
      <w:pPr>
        <w:pStyle w:val="Heading2"/>
        <w:spacing w:after="140" w:before="320"/>
      </w:pPr>
      <w:r>
        <w:rPr>
          <w:b/>
          <w:bCs/>
          <w:color w:val="3B4A8C"/>
          <w:sz w:val="25"/>
          <w:szCs w:val="25"/>
        </w:rPr>
        <w:t xml:space="preserve">4.2 What's actually new: a sync layer for stateful, multi-counter domain objects</w:t>
      </w:r>
    </w:p>
    <w:p>
      <w:pPr>
        <w:spacing w:after="160"/>
      </w:pPr>
      <w:r>
        <w:rPr>
          <w:b w:val="false"/>
          <w:bCs w:val="false"/>
          <w:i w:val="false"/>
          <w:iCs w:val="false"/>
          <w:color w:val="222222"/>
          <w:sz w:val="22"/>
          <w:szCs w:val="22"/>
        </w:rPr>
        <w:t xml:space="preserve">The existing dual-mode split works because a Sale is a single, instant, atomic write with no cross-device coordination problem — it's created once, on one device, and that's it. A restaurant Order is the opposite: it's a stateful object that multiple counters (host, order-confirmation, kitchen, billing) read and write to over the span of an hour or more. That's a genuinely new engineering problem the existing dual-mode split was never asked to solve, and it's the real cost behind this decision — worth naming plainly rather than treating as a checkbox.</w:t>
      </w:r>
    </w:p>
    <w:p>
      <w:pPr>
        <w:spacing w:after="160"/>
      </w:pPr>
      <w:r>
        <w:rPr>
          <w:b w:val="false"/>
          <w:bCs w:val="false"/>
          <w:i w:val="false"/>
          <w:iCs w:val="false"/>
          <w:color w:val="222222"/>
          <w:sz w:val="22"/>
          <w:szCs w:val="22"/>
        </w:rPr>
        <w:t xml:space="preserve">The design principles carried into this layer:</w:t>
      </w:r>
    </w:p>
    <w:p>
      <w:pPr>
        <w:pStyle w:val="ListParagraph"/>
        <w:numPr>
          <w:ilvl w:val="0"/>
          <w:numId w:val="1"/>
        </w:numPr>
        <w:spacing w:after="90"/>
      </w:pPr>
      <w:r>
        <w:rPr>
          <w:b/>
          <w:bCs/>
        </w:rPr>
        <w:t xml:space="preserve">Append-only, idempotent writes. </w:t>
      </w:r>
      <w:r>
        <w:t xml:space="preserve">The existing StockMovement pattern (append-only, no update/delete) is the model to generalize: every order event — item added, status changed, payment recorded — is written as an immutable, timestamped event with a client-generated UUID. Replaying the same event twice is a no-op, which is what makes safe sync possible.</w:t>
      </w:r>
    </w:p>
    <w:p>
      <w:pPr>
        <w:pStyle w:val="ListParagraph"/>
        <w:numPr>
          <w:ilvl w:val="0"/>
          <w:numId w:val="1"/>
        </w:numPr>
        <w:spacing w:after="90"/>
      </w:pPr>
      <w:r>
        <w:rPr>
          <w:b/>
          <w:bCs/>
        </w:rPr>
        <w:t xml:space="preserve">Local queue, background sync. </w:t>
      </w:r>
      <w:r>
        <w:t xml:space="preserve">Each counter's device keeps a local SQLite queue of unsynced events. When connectivity is present, events push to the cloud Postgres store and pull down changes from other counters. When connectivity drops, the counter keeps working entirely against its local queue.</w:t>
      </w:r>
    </w:p>
    <w:p>
      <w:pPr>
        <w:pStyle w:val="ListParagraph"/>
        <w:numPr>
          <w:ilvl w:val="0"/>
          <w:numId w:val="1"/>
        </w:numPr>
        <w:spacing w:after="90"/>
      </w:pPr>
      <w:r>
        <w:rPr>
          <w:b/>
          <w:bCs/>
        </w:rPr>
        <w:t xml:space="preserve">Conflict rules decided per object, not generically. </w:t>
      </w:r>
      <w:r>
        <w:t xml:space="preserve">Order line items are append-only, so they never conflict. Table status is last-writer-wins by timestamp, since only one host is realistically seating a given table. Billing/payment finalization requires the counter to be the sale of record for that order — enforced server-side once reconnected, consistent with the existing create_sale()-style locking discipline.</w:t>
      </w:r>
    </w:p>
    <w:p>
      <w:pPr>
        <w:pStyle w:val="ListParagraph"/>
        <w:numPr>
          <w:ilvl w:val="0"/>
          <w:numId w:val="1"/>
        </w:numPr>
        <w:spacing w:after="90"/>
      </w:pPr>
      <w:r>
        <w:rPr>
          <w:b/>
          <w:bCs/>
        </w:rPr>
        <w:t xml:space="preserve">Duplicate prevention. </w:t>
      </w:r>
      <w:r>
        <w:t xml:space="preserve">Every locally-created order, payment, or status change carries a client UUID generated at creation time. The sync endpoint upserts on that UUID, so a retried sync after a dropped connection can never create a duplicate order or double-charge a bill — this directly satisfies the client checklist's explicit “prevention of duplicate transactions during synchronization” requirement.</w:t>
      </w:r>
    </w:p>
    <w:p>
      <w:pPr>
        <w:pStyle w:val="Heading2"/>
        <w:spacing w:after="140" w:before="320"/>
      </w:pPr>
      <w:r>
        <w:rPr>
          <w:b/>
          <w:bCs/>
          <w:color w:val="3B4A8C"/>
          <w:sz w:val="25"/>
          <w:szCs w:val="25"/>
        </w:rPr>
        <w:t xml:space="preserve">4.3 What stays online-only, in both modes</w:t>
      </w:r>
    </w:p>
    <w:p>
      <w:pPr>
        <w:spacing w:after="160"/>
      </w:pPr>
      <w:r>
        <w:rPr>
          <w:b w:val="false"/>
          <w:bCs w:val="false"/>
          <w:i w:val="false"/>
          <w:iCs w:val="false"/>
          <w:color w:val="222222"/>
          <w:sz w:val="22"/>
          <w:szCs w:val="22"/>
        </w:rPr>
        <w:t xml:space="preserve">Two pieces of Phase 1 scope are inherently connectivity-dependent and were never candidates for offline operation, dual-mode or not:</w:t>
      </w:r>
    </w:p>
    <w:p>
      <w:pPr>
        <w:pStyle w:val="ListParagraph"/>
        <w:numPr>
          <w:ilvl w:val="0"/>
          <w:numId w:val="1"/>
        </w:numPr>
        <w:spacing w:after="90"/>
      </w:pPr>
      <w:r>
        <w:rPr>
          <w:b/>
          <w:bCs/>
        </w:rPr>
        <w:t xml:space="preserve">WhatsApp concierge </w:t>
      </w:r>
      <w:r>
        <w:t xml:space="preserve">— reservations and Q&amp;A over WhatsApp obviously require an internet connection to exist at all. No change from the original SOW.</w:t>
      </w:r>
    </w:p>
    <w:p>
      <w:pPr>
        <w:pStyle w:val="ListParagraph"/>
        <w:numPr>
          <w:ilvl w:val="0"/>
          <w:numId w:val="1"/>
        </w:numPr>
        <w:spacing w:after="90"/>
      </w:pPr>
      <w:r>
        <w:rPr>
          <w:b/>
          <w:bCs/>
        </w:rPr>
        <w:t xml:space="preserve">ZATCA Fatoora reporting </w:t>
      </w:r>
      <w:r>
        <w:t xml:space="preserve">— the invoice itself can be generated and the bill closed while offline (it's a local write like any other order event), but the cryptographic CSID stamp and the 24-hour Fatoora transmission require connectivity. This was already designed as “queued and retried” in the original SOW's billing-counter acceptance criteria — that queuing behavior is now simply doing double duty: it already covers both “the ZATCA middleware is briefly down” and “the venue's internet is down,” with no new design required.</w:t>
      </w:r>
    </w:p>
    <w:p>
      <w:pPr>
        <w:pStyle w:val="Heading2"/>
        <w:spacing w:after="140" w:before="320"/>
      </w:pPr>
      <w:r>
        <w:rPr>
          <w:b/>
          <w:bCs/>
          <w:color w:val="3B4A8C"/>
          <w:sz w:val="25"/>
          <w:szCs w:val="25"/>
        </w:rPr>
        <w:t xml:space="preserve">4.4 Effort implication — stated plainly</w:t>
      </w:r>
    </w:p>
    <w:p>
      <w:pPr>
        <w:spacing w:after="160"/>
      </w:pPr>
      <w:r>
        <w:rPr>
          <w:b w:val="false"/>
          <w:bCs w:val="false"/>
          <w:i w:val="false"/>
          <w:iCs w:val="false"/>
          <w:color w:val="222222"/>
          <w:sz w:val="22"/>
          <w:szCs w:val="22"/>
        </w:rPr>
        <w:t xml:space="preserve">This is real, non-trivial scope, not a settings flag. It is the single biggest addition to the original plan, and it touches every new domain app (tables, orders, menu, billing) rather than sitting in one module. Section 7 of the updated Technical SOW reflects this with a dedicated team role and an explicit trade-off recommendation — this document assumes that role is staffed.</w:t>
      </w:r>
    </w:p>
    <w:p>
      <w:pPr>
        <w:pStyle w:val="Heading1"/>
        <w:pBdr>
          <w:bottom w:val="single" w:color="C9CEDD" w:sz="6" w:space="4"/>
        </w:pBdr>
        <w:spacing w:after="200" w:before="420"/>
      </w:pPr>
      <w:r>
        <w:rPr>
          <w:b/>
          <w:bCs/>
          <w:color w:val="1F2A5C"/>
          <w:sz w:val="30"/>
          <w:szCs w:val="30"/>
        </w:rPr>
        <w:t xml:space="preserve">5. Updated Reuse / Rebuild / New Table</w:t>
      </w:r>
    </w:p>
    <w:p>
      <w:pPr>
        <w:spacing w:after="160"/>
      </w:pPr>
      <w:r>
        <w:rPr>
          <w:b w:val="false"/>
          <w:bCs w:val="false"/>
          <w:i w:val="false"/>
          <w:iCs w:val="false"/>
          <w:color w:val="222222"/>
          <w:sz w:val="22"/>
          <w:szCs w:val="22"/>
        </w:rPr>
        <w:t xml:space="preserve">Supersedes the architecture table in SOW v1.0, reflecting the repository's current state and the decisions in Section 2.</w:t>
      </w:r>
    </w:p>
    <w:tbl>
      <w:tblPr>
        <w:tblW w:type="dxa" w:w="9350"/>
        <w:tblBorders>
          <w:top w:val="single" w:color="C9CEDD" w:sz="4"/>
          <w:left w:val="single" w:color="C9CEDD" w:sz="4"/>
          <w:bottom w:val="single" w:color="C9CEDD" w:sz="4"/>
          <w:right w:val="single" w:color="C9CEDD" w:sz="4"/>
          <w:insideH w:val="single" w:color="C9CEDD" w:sz="4"/>
          <w:insideV w:val="single" w:color="C9CEDD" w:sz="4"/>
        </w:tblBorders>
      </w:tblPr>
      <w:tblGrid>
        <w:gridCol w:w="2600"/>
        <w:gridCol w:w="1500"/>
        <w:gridCol w:w="5250"/>
      </w:tblGrid>
      <w:tr>
        <w:trPr>
          <w:tblHeader/>
        </w:trPr>
        <w:tc>
          <w:tcPr>
            <w:tcW w:type="dxa" w:w="260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Layer</w:t>
            </w:r>
          </w:p>
        </w:tc>
        <w:tc>
          <w:tcPr>
            <w:tcW w:type="dxa" w:w="150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Decision</w:t>
            </w:r>
          </w:p>
        </w:tc>
        <w:tc>
          <w:tcPr>
            <w:tcW w:type="dxa" w:w="525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Notes</w:t>
            </w:r>
          </w:p>
        </w:tc>
      </w:tr>
      <w:tr>
        <w:trPr>
          <w:cantSplit/>
        </w:trPr>
        <w:tc>
          <w:tcPr>
            <w:tcW w:type="dxa" w:w="2600"/>
            <w:tcMar>
              <w:top w:type="dxa" w:w="90"/>
              <w:left w:type="dxa" w:w="110"/>
              <w:bottom w:type="dxa" w:w="90"/>
              <w:right w:type="dxa" w:w="110"/>
            </w:tcMar>
            <w:vAlign w:val="top"/>
          </w:tcPr>
          <w:p>
            <w:pPr>
              <w:jc w:val="left"/>
            </w:pPr>
            <w:r>
              <w:rPr>
                <w:b w:val="false"/>
                <w:bCs w:val="false"/>
                <w:i w:val="false"/>
                <w:iCs w:val="false"/>
                <w:color w:val="222222"/>
                <w:sz w:val="20"/>
                <w:szCs w:val="20"/>
              </w:rPr>
              <w:t xml:space="preserve">Auth &amp; roles</w:t>
            </w:r>
          </w:p>
        </w:tc>
        <w:tc>
          <w:tcPr>
            <w:tcW w:type="dxa" w:w="1500"/>
            <w:tcMar>
              <w:top w:type="dxa" w:w="90"/>
              <w:left w:type="dxa" w:w="110"/>
              <w:bottom w:type="dxa" w:w="90"/>
              <w:right w:type="dxa" w:w="110"/>
            </w:tcMar>
            <w:vAlign w:val="top"/>
          </w:tcPr>
          <w:p>
            <w:pPr>
              <w:jc w:val="left"/>
            </w:pPr>
            <w:r>
              <w:rPr>
                <w:b w:val="false"/>
                <w:bCs w:val="false"/>
                <w:i w:val="false"/>
                <w:iCs w:val="false"/>
                <w:color w:val="222222"/>
                <w:sz w:val="20"/>
                <w:szCs w:val="20"/>
              </w:rPr>
              <w:t xml:space="preserve">Retain</w:t>
            </w:r>
          </w:p>
        </w:tc>
        <w:tc>
          <w:tcPr>
            <w:tcW w:type="dxa" w:w="5250"/>
            <w:tcMar>
              <w:top w:type="dxa" w:w="90"/>
              <w:left w:type="dxa" w:w="110"/>
              <w:bottom w:type="dxa" w:w="90"/>
              <w:right w:type="dxa" w:w="110"/>
            </w:tcMar>
            <w:vAlign w:val="top"/>
          </w:tcPr>
          <w:p>
            <w:pPr>
              <w:jc w:val="left"/>
            </w:pPr>
            <w:r>
              <w:rPr>
                <w:b w:val="false"/>
                <w:bCs w:val="false"/>
                <w:i w:val="false"/>
                <w:iCs w:val="false"/>
                <w:color w:val="222222"/>
                <w:sz w:val="20"/>
                <w:szCs w:val="20"/>
              </w:rPr>
              <w:t xml:space="preserve">JWT auth retained; role set extended for restaurant floor roles (owner/manager/host/waiter/kitchen/cashier).</w:t>
            </w:r>
          </w:p>
        </w:tc>
      </w:tr>
      <w:tr>
        <w:trPr>
          <w:cantSplit/>
        </w:trPr>
        <w:tc>
          <w:tcPr>
            <w:tcW w:type="dxa" w:w="26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Money handling</w:t>
            </w:r>
          </w:p>
        </w:tc>
        <w:tc>
          <w:tcPr>
            <w:tcW w:type="dxa" w:w="15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Retain</w:t>
            </w:r>
          </w:p>
        </w:tc>
        <w:tc>
          <w:tcPr>
            <w:tcW w:type="dxa" w:w="52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Integer-subunit pattern retained; adapted from paise to halalas (SAR).</w:t>
            </w:r>
          </w:p>
        </w:tc>
      </w:tr>
      <w:tr>
        <w:trPr>
          <w:cantSplit/>
        </w:trPr>
        <w:tc>
          <w:tcPr>
            <w:tcW w:type="dxa" w:w="2600"/>
            <w:tcMar>
              <w:top w:type="dxa" w:w="90"/>
              <w:left w:type="dxa" w:w="110"/>
              <w:bottom w:type="dxa" w:w="90"/>
              <w:right w:type="dxa" w:w="110"/>
            </w:tcMar>
            <w:vAlign w:val="top"/>
          </w:tcPr>
          <w:p>
            <w:pPr>
              <w:jc w:val="left"/>
            </w:pPr>
            <w:r>
              <w:rPr>
                <w:b w:val="false"/>
                <w:bCs w:val="false"/>
                <w:i w:val="false"/>
                <w:iCs w:val="false"/>
                <w:color w:val="222222"/>
                <w:sz w:val="20"/>
                <w:szCs w:val="20"/>
              </w:rPr>
              <w:t xml:space="preserve">Shop settings, dual deployment config</w:t>
            </w:r>
          </w:p>
        </w:tc>
        <w:tc>
          <w:tcPr>
            <w:tcW w:type="dxa" w:w="1500"/>
            <w:tcMar>
              <w:top w:type="dxa" w:w="90"/>
              <w:left w:type="dxa" w:w="110"/>
              <w:bottom w:type="dxa" w:w="90"/>
              <w:right w:type="dxa" w:w="110"/>
            </w:tcMar>
            <w:vAlign w:val="top"/>
          </w:tcPr>
          <w:p>
            <w:pPr>
              <w:jc w:val="left"/>
            </w:pPr>
            <w:r>
              <w:rPr>
                <w:b w:val="false"/>
                <w:bCs w:val="false"/>
                <w:i w:val="false"/>
                <w:iCs w:val="false"/>
                <w:color w:val="222222"/>
                <w:sz w:val="20"/>
                <w:szCs w:val="20"/>
              </w:rPr>
              <w:t xml:space="preserve">Retain &amp; extend</w:t>
            </w:r>
          </w:p>
        </w:tc>
        <w:tc>
          <w:tcPr>
            <w:tcW w:type="dxa" w:w="5250"/>
            <w:tcMar>
              <w:top w:type="dxa" w:w="90"/>
              <w:left w:type="dxa" w:w="110"/>
              <w:bottom w:type="dxa" w:w="90"/>
              <w:right w:type="dxa" w:w="110"/>
            </w:tcMar>
            <w:vAlign w:val="top"/>
          </w:tcPr>
          <w:p>
            <w:pPr>
              <w:jc w:val="left"/>
            </w:pPr>
            <w:r>
              <w:rPr>
                <w:b w:val="false"/>
                <w:bCs w:val="false"/>
                <w:i w:val="false"/>
                <w:iCs w:val="false"/>
                <w:color w:val="222222"/>
                <w:sz w:val="20"/>
                <w:szCs w:val="20"/>
              </w:rPr>
              <w:t xml:space="preserve">config.settings.desktop / dev / cloud pattern retained as-is; extended with sync-endpoint configuration.</w:t>
            </w:r>
          </w:p>
        </w:tc>
      </w:tr>
      <w:tr>
        <w:trPr>
          <w:cantSplit/>
        </w:trPr>
        <w:tc>
          <w:tcPr>
            <w:tcW w:type="dxa" w:w="26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Shift management</w:t>
            </w:r>
          </w:p>
        </w:tc>
        <w:tc>
          <w:tcPr>
            <w:tcW w:type="dxa" w:w="15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Retain</w:t>
            </w:r>
          </w:p>
        </w:tc>
        <w:tc>
          <w:tcPr>
            <w:tcW w:type="dxa" w:w="52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Open/close + cash variance reused directly for the billing counter.</w:t>
            </w:r>
          </w:p>
        </w:tc>
      </w:tr>
      <w:tr>
        <w:trPr>
          <w:cantSplit/>
        </w:trPr>
        <w:tc>
          <w:tcPr>
            <w:tcW w:type="dxa" w:w="2600"/>
            <w:tcMar>
              <w:top w:type="dxa" w:w="90"/>
              <w:left w:type="dxa" w:w="110"/>
              <w:bottom w:type="dxa" w:w="90"/>
              <w:right w:type="dxa" w:w="110"/>
            </w:tcMar>
            <w:vAlign w:val="top"/>
          </w:tcPr>
          <w:p>
            <w:pPr>
              <w:jc w:val="left"/>
            </w:pPr>
            <w:r>
              <w:rPr>
                <w:b w:val="false"/>
                <w:bCs w:val="false"/>
                <w:i w:val="false"/>
                <w:iCs w:val="false"/>
                <w:color w:val="222222"/>
                <w:sz w:val="20"/>
                <w:szCs w:val="20"/>
              </w:rPr>
              <w:t xml:space="preserve">Khata (credit/partial-payment)</w:t>
            </w:r>
          </w:p>
        </w:tc>
        <w:tc>
          <w:tcPr>
            <w:tcW w:type="dxa" w:w="1500"/>
            <w:shd w:fill="E5F3E8" w:val="clear"/>
            <w:tcMar>
              <w:top w:type="dxa" w:w="90"/>
              <w:left w:type="dxa" w:w="110"/>
              <w:bottom w:type="dxa" w:w="90"/>
              <w:right w:type="dxa" w:w="110"/>
            </w:tcMar>
            <w:vAlign w:val="top"/>
          </w:tcPr>
          <w:p>
            <w:pPr>
              <w:jc w:val="left"/>
            </w:pPr>
            <w:r>
              <w:rPr>
                <w:b/>
                <w:bCs/>
                <w:i w:val="false"/>
                <w:iCs w:val="false"/>
                <w:color w:val="1E6B34"/>
                <w:sz w:val="20"/>
                <w:szCs w:val="20"/>
              </w:rPr>
              <w:t xml:space="preserve">Retain — new since v1.0</w:t>
            </w:r>
          </w:p>
        </w:tc>
        <w:tc>
          <w:tcPr>
            <w:tcW w:type="dxa" w:w="5250"/>
            <w:tcMar>
              <w:top w:type="dxa" w:w="90"/>
              <w:left w:type="dxa" w:w="110"/>
              <w:bottom w:type="dxa" w:w="90"/>
              <w:right w:type="dxa" w:w="110"/>
            </w:tcMar>
            <w:vAlign w:val="top"/>
          </w:tcPr>
          <w:p>
            <w:pPr>
              <w:jc w:val="left"/>
            </w:pPr>
            <w:r>
              <w:rPr>
                <w:b w:val="false"/>
                <w:bCs w:val="false"/>
                <w:i w:val="false"/>
                <w:iCs w:val="false"/>
                <w:color w:val="222222"/>
                <w:sz w:val="20"/>
                <w:szCs w:val="20"/>
              </w:rPr>
              <w:t xml:space="preserve">Not present in the original architecture review. Reused directly for deposits and partial payments.</w:t>
            </w:r>
          </w:p>
        </w:tc>
      </w:tr>
      <w:tr>
        <w:trPr>
          <w:cantSplit/>
        </w:trPr>
        <w:tc>
          <w:tcPr>
            <w:tcW w:type="dxa" w:w="26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Void / return flow</w:t>
            </w:r>
          </w:p>
        </w:tc>
        <w:tc>
          <w:tcPr>
            <w:tcW w:type="dxa" w:w="1500"/>
            <w:shd w:fill="E5F3E8" w:val="clear"/>
            <w:tcMar>
              <w:top w:type="dxa" w:w="90"/>
              <w:left w:type="dxa" w:w="110"/>
              <w:bottom w:type="dxa" w:w="90"/>
              <w:right w:type="dxa" w:w="110"/>
            </w:tcMar>
            <w:vAlign w:val="top"/>
          </w:tcPr>
          <w:p>
            <w:pPr>
              <w:jc w:val="left"/>
            </w:pPr>
            <w:r>
              <w:rPr>
                <w:b/>
                <w:bCs/>
                <w:i w:val="false"/>
                <w:iCs w:val="false"/>
                <w:color w:val="1E6B34"/>
                <w:sz w:val="20"/>
                <w:szCs w:val="20"/>
              </w:rPr>
              <w:t xml:space="preserve">Retain — new since v1.0</w:t>
            </w:r>
          </w:p>
        </w:tc>
        <w:tc>
          <w:tcPr>
            <w:tcW w:type="dxa" w:w="52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SaleType.RETURN + authorized voids, reused for order voids/refunds.</w:t>
            </w:r>
          </w:p>
        </w:tc>
      </w:tr>
      <w:tr>
        <w:trPr>
          <w:cantSplit/>
        </w:trPr>
        <w:tc>
          <w:tcPr>
            <w:tcW w:type="dxa" w:w="2600"/>
            <w:tcMar>
              <w:top w:type="dxa" w:w="90"/>
              <w:left w:type="dxa" w:w="110"/>
              <w:bottom w:type="dxa" w:w="90"/>
              <w:right w:type="dxa" w:w="110"/>
            </w:tcMar>
            <w:vAlign w:val="top"/>
          </w:tcPr>
          <w:p>
            <w:pPr>
              <w:jc w:val="left"/>
            </w:pPr>
            <w:r>
              <w:rPr>
                <w:b w:val="false"/>
                <w:bCs w:val="false"/>
                <w:i w:val="false"/>
                <w:iCs w:val="false"/>
                <w:color w:val="222222"/>
                <w:sz w:val="20"/>
                <w:szCs w:val="20"/>
              </w:rPr>
              <w:t xml:space="preserve">Receipts (PDF / thermal / HTML)</w:t>
            </w:r>
          </w:p>
        </w:tc>
        <w:tc>
          <w:tcPr>
            <w:tcW w:type="dxa" w:w="1500"/>
            <w:shd w:fill="E5F3E8" w:val="clear"/>
            <w:tcMar>
              <w:top w:type="dxa" w:w="90"/>
              <w:left w:type="dxa" w:w="110"/>
              <w:bottom w:type="dxa" w:w="90"/>
              <w:right w:type="dxa" w:w="110"/>
            </w:tcMar>
            <w:vAlign w:val="top"/>
          </w:tcPr>
          <w:p>
            <w:pPr>
              <w:jc w:val="left"/>
            </w:pPr>
            <w:r>
              <w:rPr>
                <w:b/>
                <w:bCs/>
                <w:i w:val="false"/>
                <w:iCs w:val="false"/>
                <w:color w:val="1E6B34"/>
                <w:sz w:val="20"/>
                <w:szCs w:val="20"/>
              </w:rPr>
              <w:t xml:space="preserve">Retain &amp; extend — more mature than assumed</w:t>
            </w:r>
          </w:p>
        </w:tc>
        <w:tc>
          <w:tcPr>
            <w:tcW w:type="dxa" w:w="5250"/>
            <w:tcMar>
              <w:top w:type="dxa" w:w="90"/>
              <w:left w:type="dxa" w:w="110"/>
              <w:bottom w:type="dxa" w:w="90"/>
              <w:right w:type="dxa" w:w="110"/>
            </w:tcMar>
            <w:vAlign w:val="top"/>
          </w:tcPr>
          <w:p>
            <w:pPr>
              <w:jc w:val="left"/>
            </w:pPr>
            <w:r>
              <w:rPr>
                <w:b w:val="false"/>
                <w:bCs w:val="false"/>
                <w:i w:val="false"/>
                <w:iCs w:val="false"/>
                <w:color w:val="222222"/>
                <w:sz w:val="20"/>
                <w:szCs w:val="20"/>
              </w:rPr>
              <w:t xml:space="preserve">Phase 8A engine (A4/A5/80mm/HTML from one data context, QR embedded, tested) extended for bilingual Arabic/English and ZATCA invoice content.</w:t>
            </w:r>
          </w:p>
        </w:tc>
      </w:tr>
      <w:tr>
        <w:trPr>
          <w:cantSplit/>
        </w:trPr>
        <w:tc>
          <w:tcPr>
            <w:tcW w:type="dxa" w:w="26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Audit / activity log</w:t>
            </w:r>
          </w:p>
        </w:tc>
        <w:tc>
          <w:tcPr>
            <w:tcW w:type="dxa" w:w="1500"/>
            <w:shd w:fill="E5F3E8" w:val="clear"/>
            <w:tcMar>
              <w:top w:type="dxa" w:w="90"/>
              <w:left w:type="dxa" w:w="110"/>
              <w:bottom w:type="dxa" w:w="90"/>
              <w:right w:type="dxa" w:w="110"/>
            </w:tcMar>
            <w:vAlign w:val="top"/>
          </w:tcPr>
          <w:p>
            <w:pPr>
              <w:jc w:val="left"/>
            </w:pPr>
            <w:r>
              <w:rPr>
                <w:b/>
                <w:bCs/>
                <w:i w:val="false"/>
                <w:iCs w:val="false"/>
                <w:color w:val="1E6B34"/>
                <w:sz w:val="20"/>
                <w:szCs w:val="20"/>
              </w:rPr>
              <w:t xml:space="preserve">Retain — new since v1.0</w:t>
            </w:r>
          </w:p>
        </w:tc>
        <w:tc>
          <w:tcPr>
            <w:tcW w:type="dxa" w:w="52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Already production-grade; reused directly, exceeds the client checklist's audit-log ask.</w:t>
            </w:r>
          </w:p>
        </w:tc>
      </w:tr>
      <w:tr>
        <w:trPr>
          <w:cantSplit/>
        </w:trPr>
        <w:tc>
          <w:tcPr>
            <w:tcW w:type="dxa" w:w="2600"/>
            <w:tcMar>
              <w:top w:type="dxa" w:w="90"/>
              <w:left w:type="dxa" w:w="110"/>
              <w:bottom w:type="dxa" w:w="90"/>
              <w:right w:type="dxa" w:w="110"/>
            </w:tcMar>
            <w:vAlign w:val="top"/>
          </w:tcPr>
          <w:p>
            <w:pPr>
              <w:jc w:val="left"/>
            </w:pPr>
            <w:r>
              <w:rPr>
                <w:b w:val="false"/>
                <w:bCs w:val="false"/>
                <w:i w:val="false"/>
                <w:iCs w:val="false"/>
                <w:color w:val="222222"/>
                <w:sz w:val="20"/>
                <w:szCs w:val="20"/>
              </w:rPr>
              <w:t xml:space="preserve">Multi-language (EN/Urdu → EN/Arabic) + RTL</w:t>
            </w:r>
          </w:p>
        </w:tc>
        <w:tc>
          <w:tcPr>
            <w:tcW w:type="dxa" w:w="1500"/>
            <w:shd w:fill="E5F3E8" w:val="clear"/>
            <w:tcMar>
              <w:top w:type="dxa" w:w="90"/>
              <w:left w:type="dxa" w:w="110"/>
              <w:bottom w:type="dxa" w:w="90"/>
              <w:right w:type="dxa" w:w="110"/>
            </w:tcMar>
            <w:vAlign w:val="top"/>
          </w:tcPr>
          <w:p>
            <w:pPr>
              <w:jc w:val="left"/>
            </w:pPr>
            <w:r>
              <w:rPr>
                <w:b/>
                <w:bCs/>
                <w:i w:val="false"/>
                <w:iCs w:val="false"/>
                <w:color w:val="1E6B34"/>
                <w:sz w:val="20"/>
                <w:szCs w:val="20"/>
              </w:rPr>
              <w:t xml:space="preserve">Retain &amp; extend — new since v1.0</w:t>
            </w:r>
          </w:p>
        </w:tc>
        <w:tc>
          <w:tcPr>
            <w:tcW w:type="dxa" w:w="5250"/>
            <w:tcMar>
              <w:top w:type="dxa" w:w="90"/>
              <w:left w:type="dxa" w:w="110"/>
              <w:bottom w:type="dxa" w:w="90"/>
              <w:right w:type="dxa" w:w="110"/>
            </w:tcMar>
            <w:vAlign w:val="top"/>
          </w:tcPr>
          <w:p>
            <w:pPr>
              <w:jc w:val="left"/>
            </w:pPr>
            <w:r>
              <w:rPr>
                <w:b w:val="false"/>
                <w:bCs w:val="false"/>
                <w:i w:val="false"/>
                <w:iCs w:val="false"/>
                <w:color w:val="222222"/>
                <w:sz w:val="20"/>
                <w:szCs w:val="20"/>
              </w:rPr>
              <w:t xml:space="preserve">Working i18n/RTL plumbing; swap translation set and font for Arabic. Meaningfully reduces the localization workstream.</w:t>
            </w:r>
          </w:p>
        </w:tc>
      </w:tr>
      <w:tr>
        <w:trPr>
          <w:cantSplit/>
        </w:trPr>
        <w:tc>
          <w:tcPr>
            <w:tcW w:type="dxa" w:w="26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Multi-tenancy scaffold</w:t>
            </w:r>
          </w:p>
        </w:tc>
        <w:tc>
          <w:tcPr>
            <w:tcW w:type="dxa" w:w="15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Retain</w:t>
            </w:r>
          </w:p>
        </w:tc>
        <w:tc>
          <w:tcPr>
            <w:tcW w:type="dxa" w:w="52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tenant_id kept; single-tenant for this engagement, doesn't block multi-branch later.</w:t>
            </w:r>
          </w:p>
        </w:tc>
      </w:tr>
      <w:tr>
        <w:trPr>
          <w:cantSplit/>
        </w:trPr>
        <w:tc>
          <w:tcPr>
            <w:tcW w:type="dxa" w:w="2600"/>
            <w:tcMar>
              <w:top w:type="dxa" w:w="90"/>
              <w:left w:type="dxa" w:w="110"/>
              <w:bottom w:type="dxa" w:w="90"/>
              <w:right w:type="dxa" w:w="110"/>
            </w:tcMar>
            <w:vAlign w:val="top"/>
          </w:tcPr>
          <w:p>
            <w:pPr>
              <w:jc w:val="left"/>
            </w:pPr>
            <w:r>
              <w:rPr>
                <w:b w:val="false"/>
                <w:bCs w:val="false"/>
                <w:i w:val="false"/>
                <w:iCs w:val="false"/>
                <w:color w:val="222222"/>
                <w:sz w:val="20"/>
                <w:szCs w:val="20"/>
              </w:rPr>
              <w:t xml:space="preserve">Frontend stack &amp; conventions</w:t>
            </w:r>
          </w:p>
        </w:tc>
        <w:tc>
          <w:tcPr>
            <w:tcW w:type="dxa" w:w="1500"/>
            <w:tcMar>
              <w:top w:type="dxa" w:w="90"/>
              <w:left w:type="dxa" w:w="110"/>
              <w:bottom w:type="dxa" w:w="90"/>
              <w:right w:type="dxa" w:w="110"/>
            </w:tcMar>
            <w:vAlign w:val="top"/>
          </w:tcPr>
          <w:p>
            <w:pPr>
              <w:jc w:val="left"/>
            </w:pPr>
            <w:r>
              <w:rPr>
                <w:b w:val="false"/>
                <w:bCs w:val="false"/>
                <w:i w:val="false"/>
                <w:iCs w:val="false"/>
                <w:color w:val="222222"/>
                <w:sz w:val="20"/>
                <w:szCs w:val="20"/>
              </w:rPr>
              <w:t xml:space="preserve">Retain</w:t>
            </w:r>
          </w:p>
        </w:tc>
        <w:tc>
          <w:tcPr>
            <w:tcW w:type="dxa" w:w="5250"/>
            <w:tcMar>
              <w:top w:type="dxa" w:w="90"/>
              <w:left w:type="dxa" w:w="110"/>
              <w:bottom w:type="dxa" w:w="90"/>
              <w:right w:type="dxa" w:w="110"/>
            </w:tcMar>
            <w:vAlign w:val="top"/>
          </w:tcPr>
          <w:p>
            <w:pPr>
              <w:jc w:val="left"/>
            </w:pPr>
            <w:r>
              <w:rPr>
                <w:b w:val="false"/>
                <w:bCs w:val="false"/>
                <w:i w:val="false"/>
                <w:iCs w:val="false"/>
                <w:color w:val="222222"/>
                <w:sz w:val="20"/>
                <w:szCs w:val="20"/>
              </w:rPr>
              <w:t xml:space="preserve">React/Vite/TS/Tailwind/shadcn, TanStack Query, Zustand, RHF+zod all retained.</w:t>
            </w:r>
          </w:p>
        </w:tc>
      </w:tr>
      <w:tr>
        <w:trPr>
          <w:cantSplit/>
        </w:trPr>
        <w:tc>
          <w:tcPr>
            <w:tcW w:type="dxa" w:w="26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Sale model / create_sale()</w:t>
            </w:r>
          </w:p>
        </w:tc>
        <w:tc>
          <w:tcPr>
            <w:tcW w:type="dxa" w:w="15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Rebuild</w:t>
            </w:r>
          </w:p>
        </w:tc>
        <w:tc>
          <w:tcPr>
            <w:tcW w:type="dxa" w:w="52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Replaced by a stateful Order lifecycle; locking/atomicity principles reapplied, not the model itself.</w:t>
            </w:r>
          </w:p>
        </w:tc>
      </w:tr>
      <w:tr>
        <w:trPr>
          <w:cantSplit/>
        </w:trPr>
        <w:tc>
          <w:tcPr>
            <w:tcW w:type="dxa" w:w="2600"/>
            <w:tcMar>
              <w:top w:type="dxa" w:w="90"/>
              <w:left w:type="dxa" w:w="110"/>
              <w:bottom w:type="dxa" w:w="90"/>
              <w:right w:type="dxa" w:w="110"/>
            </w:tcMar>
            <w:vAlign w:val="top"/>
          </w:tcPr>
          <w:p>
            <w:pPr>
              <w:jc w:val="left"/>
            </w:pPr>
            <w:r>
              <w:rPr>
                <w:b w:val="false"/>
                <w:bCs w:val="false"/>
                <w:i w:val="false"/>
                <w:iCs w:val="false"/>
                <w:color w:val="222222"/>
                <w:sz w:val="20"/>
                <w:szCs w:val="20"/>
              </w:rPr>
              <w:t xml:space="preserve">Tables, reservations, menu/modifiers</w:t>
            </w:r>
          </w:p>
        </w:tc>
        <w:tc>
          <w:tcPr>
            <w:tcW w:type="dxa" w:w="1500"/>
            <w:tcMar>
              <w:top w:type="dxa" w:w="90"/>
              <w:left w:type="dxa" w:w="110"/>
              <w:bottom w:type="dxa" w:w="90"/>
              <w:right w:type="dxa" w:w="110"/>
            </w:tcMar>
            <w:vAlign w:val="top"/>
          </w:tcPr>
          <w:p>
            <w:pPr>
              <w:jc w:val="left"/>
            </w:pPr>
            <w:r>
              <w:rPr>
                <w:b w:val="false"/>
                <w:bCs w:val="false"/>
                <w:i w:val="false"/>
                <w:iCs w:val="false"/>
                <w:color w:val="222222"/>
                <w:sz w:val="20"/>
                <w:szCs w:val="20"/>
              </w:rPr>
              <w:t xml:space="preserve">New</w:t>
            </w:r>
          </w:p>
        </w:tc>
        <w:tc>
          <w:tcPr>
            <w:tcW w:type="dxa" w:w="5250"/>
            <w:tcMar>
              <w:top w:type="dxa" w:w="90"/>
              <w:left w:type="dxa" w:w="110"/>
              <w:bottom w:type="dxa" w:w="90"/>
              <w:right w:type="dxa" w:w="110"/>
            </w:tcMar>
            <w:vAlign w:val="top"/>
          </w:tcPr>
          <w:p>
            <w:pPr>
              <w:jc w:val="left"/>
            </w:pPr>
            <w:r>
              <w:rPr>
                <w:b w:val="false"/>
                <w:bCs w:val="false"/>
                <w:i w:val="false"/>
                <w:iCs w:val="false"/>
                <w:color w:val="222222"/>
                <w:sz w:val="20"/>
                <w:szCs w:val="20"/>
              </w:rPr>
              <w:t xml:space="preserve">Net-new domain apps — confirmed no equivalent exists in the current codebase.</w:t>
            </w:r>
          </w:p>
        </w:tc>
      </w:tr>
      <w:tr>
        <w:trPr>
          <w:cantSplit/>
        </w:trPr>
        <w:tc>
          <w:tcPr>
            <w:tcW w:type="dxa" w:w="26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Real-time counter sync (online)</w:t>
            </w:r>
          </w:p>
        </w:tc>
        <w:tc>
          <w:tcPr>
            <w:tcW w:type="dxa" w:w="15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New</w:t>
            </w:r>
          </w:p>
        </w:tc>
        <w:tc>
          <w:tcPr>
            <w:tcW w:type="dxa" w:w="52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No equivalent exists; introduced for this engagement.</w:t>
            </w:r>
          </w:p>
        </w:tc>
      </w:tr>
      <w:tr>
        <w:trPr>
          <w:cantSplit/>
        </w:trPr>
        <w:tc>
          <w:tcPr>
            <w:tcW w:type="dxa" w:w="2600"/>
            <w:tcMar>
              <w:top w:type="dxa" w:w="90"/>
              <w:left w:type="dxa" w:w="110"/>
              <w:bottom w:type="dxa" w:w="90"/>
              <w:right w:type="dxa" w:w="110"/>
            </w:tcMar>
            <w:vAlign w:val="top"/>
          </w:tcPr>
          <w:p>
            <w:pPr>
              <w:jc w:val="left"/>
            </w:pPr>
            <w:r>
              <w:rPr>
                <w:b w:val="false"/>
                <w:bCs w:val="false"/>
                <w:i w:val="false"/>
                <w:iCs w:val="false"/>
                <w:color w:val="222222"/>
                <w:sz w:val="20"/>
                <w:szCs w:val="20"/>
              </w:rPr>
              <w:t xml:space="preserve">Offline sync layer (new domain apps)</w:t>
            </w:r>
          </w:p>
        </w:tc>
        <w:tc>
          <w:tcPr>
            <w:tcW w:type="dxa" w:w="1500"/>
            <w:shd w:fill="FCEFD9" w:val="clear"/>
            <w:tcMar>
              <w:top w:type="dxa" w:w="90"/>
              <w:left w:type="dxa" w:w="110"/>
              <w:bottom w:type="dxa" w:w="90"/>
              <w:right w:type="dxa" w:w="110"/>
            </w:tcMar>
            <w:vAlign w:val="top"/>
          </w:tcPr>
          <w:p>
            <w:pPr>
              <w:jc w:val="left"/>
            </w:pPr>
            <w:r>
              <w:rPr>
                <w:b/>
                <w:bCs/>
                <w:i w:val="false"/>
                <w:iCs w:val="false"/>
                <w:color w:val="8A5A00"/>
                <w:sz w:val="20"/>
                <w:szCs w:val="20"/>
              </w:rPr>
              <w:t xml:space="preserve">New — largest addition since v1.0</w:t>
            </w:r>
          </w:p>
        </w:tc>
        <w:tc>
          <w:tcPr>
            <w:tcW w:type="dxa" w:w="5250"/>
            <w:tcMar>
              <w:top w:type="dxa" w:w="90"/>
              <w:left w:type="dxa" w:w="110"/>
              <w:bottom w:type="dxa" w:w="90"/>
              <w:right w:type="dxa" w:w="110"/>
            </w:tcMar>
            <w:vAlign w:val="top"/>
          </w:tcPr>
          <w:p>
            <w:pPr>
              <w:jc w:val="left"/>
            </w:pPr>
            <w:r>
              <w:rPr>
                <w:b w:val="false"/>
                <w:bCs w:val="false"/>
                <w:i w:val="false"/>
                <w:iCs w:val="false"/>
                <w:color w:val="222222"/>
                <w:sz w:val="20"/>
                <w:szCs w:val="20"/>
              </w:rPr>
              <w:t xml:space="preserve">See Section 4. The existing dual-mode split covers retail Sale/Product only; this generalizes it to stateful, multi-counter objects.</w:t>
            </w:r>
          </w:p>
        </w:tc>
      </w:tr>
      <w:tr>
        <w:trPr>
          <w:cantSplit/>
        </w:trPr>
        <w:tc>
          <w:tcPr>
            <w:tcW w:type="dxa" w:w="26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QR customer-facing ordering app</w:t>
            </w:r>
          </w:p>
        </w:tc>
        <w:tc>
          <w:tcPr>
            <w:tcW w:type="dxa" w:w="15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New</w:t>
            </w:r>
          </w:p>
        </w:tc>
        <w:tc>
          <w:tcPr>
            <w:tcW w:type="dxa" w:w="52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Separate lightweight frontend; current app is internal-staff-only.</w:t>
            </w:r>
          </w:p>
        </w:tc>
      </w:tr>
      <w:tr>
        <w:trPr>
          <w:cantSplit/>
        </w:trPr>
        <w:tc>
          <w:tcPr>
            <w:tcW w:type="dxa" w:w="2600"/>
            <w:tcMar>
              <w:top w:type="dxa" w:w="90"/>
              <w:left w:type="dxa" w:w="110"/>
              <w:bottom w:type="dxa" w:w="90"/>
              <w:right w:type="dxa" w:w="110"/>
            </w:tcMar>
            <w:vAlign w:val="top"/>
          </w:tcPr>
          <w:p>
            <w:pPr>
              <w:jc w:val="left"/>
            </w:pPr>
            <w:r>
              <w:rPr>
                <w:b w:val="false"/>
                <w:bCs w:val="false"/>
                <w:i w:val="false"/>
                <w:iCs w:val="false"/>
                <w:color w:val="222222"/>
                <w:sz w:val="20"/>
                <w:szCs w:val="20"/>
              </w:rPr>
              <w:t xml:space="preserve">Delivery orders (basic)</w:t>
            </w:r>
          </w:p>
        </w:tc>
        <w:tc>
          <w:tcPr>
            <w:tcW w:type="dxa" w:w="1500"/>
            <w:shd w:fill="E5F3E8" w:val="clear"/>
            <w:tcMar>
              <w:top w:type="dxa" w:w="90"/>
              <w:left w:type="dxa" w:w="110"/>
              <w:bottom w:type="dxa" w:w="90"/>
              <w:right w:type="dxa" w:w="110"/>
            </w:tcMar>
            <w:vAlign w:val="top"/>
          </w:tcPr>
          <w:p>
            <w:pPr>
              <w:jc w:val="left"/>
            </w:pPr>
            <w:r>
              <w:rPr>
                <w:b/>
                <w:bCs/>
                <w:i w:val="false"/>
                <w:iCs w:val="false"/>
                <w:color w:val="1E6B34"/>
                <w:sz w:val="20"/>
                <w:szCs w:val="20"/>
              </w:rPr>
              <w:t xml:space="preserve">New — added this session</w:t>
            </w:r>
          </w:p>
        </w:tc>
        <w:tc>
          <w:tcPr>
            <w:tcW w:type="dxa" w:w="5250"/>
            <w:tcMar>
              <w:top w:type="dxa" w:w="90"/>
              <w:left w:type="dxa" w:w="110"/>
              <w:bottom w:type="dxa" w:w="90"/>
              <w:right w:type="dxa" w:w="110"/>
            </w:tcMar>
            <w:vAlign w:val="top"/>
          </w:tcPr>
          <w:p>
            <w:pPr>
              <w:jc w:val="left"/>
            </w:pPr>
            <w:r>
              <w:rPr>
                <w:b w:val="false"/>
                <w:bCs w:val="false"/>
                <w:i w:val="false"/>
                <w:iCs w:val="false"/>
                <w:color w:val="222222"/>
                <w:sz w:val="20"/>
                <w:szCs w:val="20"/>
              </w:rPr>
              <w:t xml:space="preserve">See Section 6. Order source/zone/charge/address/status only — no third-party aggregator API.</w:t>
            </w:r>
          </w:p>
        </w:tc>
      </w:tr>
      <w:tr>
        <w:trPr>
          <w:cantSplit/>
        </w:trPr>
        <w:tc>
          <w:tcPr>
            <w:tcW w:type="dxa" w:w="26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WhatsApp concierge</w:t>
            </w:r>
          </w:p>
        </w:tc>
        <w:tc>
          <w:tcPr>
            <w:tcW w:type="dxa" w:w="15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New</w:t>
            </w:r>
          </w:p>
        </w:tc>
        <w:tc>
          <w:tcPr>
            <w:tcW w:type="dxa" w:w="52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New LangGraph-based service.</w:t>
            </w:r>
          </w:p>
        </w:tc>
      </w:tr>
      <w:tr>
        <w:trPr>
          <w:cantSplit/>
        </w:trPr>
        <w:tc>
          <w:tcPr>
            <w:tcW w:type="dxa" w:w="2600"/>
            <w:tcMar>
              <w:top w:type="dxa" w:w="90"/>
              <w:left w:type="dxa" w:w="110"/>
              <w:bottom w:type="dxa" w:w="90"/>
              <w:right w:type="dxa" w:w="110"/>
            </w:tcMar>
            <w:vAlign w:val="top"/>
          </w:tcPr>
          <w:p>
            <w:pPr>
              <w:jc w:val="left"/>
            </w:pPr>
            <w:r>
              <w:rPr>
                <w:b w:val="false"/>
                <w:bCs w:val="false"/>
                <w:i w:val="false"/>
                <w:iCs w:val="false"/>
                <w:color w:val="222222"/>
                <w:sz w:val="20"/>
                <w:szCs w:val="20"/>
              </w:rPr>
              <w:t xml:space="preserve">ZATCA e-invoicing</w:t>
            </w:r>
          </w:p>
        </w:tc>
        <w:tc>
          <w:tcPr>
            <w:tcW w:type="dxa" w:w="1500"/>
            <w:tcMar>
              <w:top w:type="dxa" w:w="90"/>
              <w:left w:type="dxa" w:w="110"/>
              <w:bottom w:type="dxa" w:w="90"/>
              <w:right w:type="dxa" w:w="110"/>
            </w:tcMar>
            <w:vAlign w:val="top"/>
          </w:tcPr>
          <w:p>
            <w:pPr>
              <w:jc w:val="left"/>
            </w:pPr>
            <w:r>
              <w:rPr>
                <w:b w:val="false"/>
                <w:bCs w:val="false"/>
                <w:i w:val="false"/>
                <w:iCs w:val="false"/>
                <w:color w:val="222222"/>
                <w:sz w:val="20"/>
                <w:szCs w:val="20"/>
              </w:rPr>
              <w:t xml:space="preserve">New</w:t>
            </w:r>
          </w:p>
        </w:tc>
        <w:tc>
          <w:tcPr>
            <w:tcW w:type="dxa" w:w="5250"/>
            <w:tcMar>
              <w:top w:type="dxa" w:w="90"/>
              <w:left w:type="dxa" w:w="110"/>
              <w:bottom w:type="dxa" w:w="90"/>
              <w:right w:type="dxa" w:w="110"/>
            </w:tcMar>
            <w:vAlign w:val="top"/>
          </w:tcPr>
          <w:p>
            <w:pPr>
              <w:jc w:val="left"/>
            </w:pPr>
            <w:r>
              <w:rPr>
                <w:b w:val="false"/>
                <w:bCs w:val="false"/>
                <w:i w:val="false"/>
                <w:iCs w:val="false"/>
                <w:color w:val="222222"/>
                <w:sz w:val="20"/>
                <w:szCs w:val="20"/>
              </w:rPr>
              <w:t xml:space="preserve">New compliance module / middleware integration.</w:t>
            </w:r>
          </w:p>
        </w:tc>
      </w:tr>
      <w:tr>
        <w:trPr>
          <w:cantSplit/>
        </w:trPr>
        <w:tc>
          <w:tcPr>
            <w:tcW w:type="dxa" w:w="26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Desktop / Tauri shell</w:t>
            </w:r>
          </w:p>
        </w:tc>
        <w:tc>
          <w:tcPr>
            <w:tcW w:type="dxa" w:w="1500"/>
            <w:shd w:fill="FCEFD9" w:val="clear"/>
            <w:tcMar>
              <w:top w:type="dxa" w:w="90"/>
              <w:left w:type="dxa" w:w="110"/>
              <w:bottom w:type="dxa" w:w="90"/>
              <w:right w:type="dxa" w:w="110"/>
            </w:tcMar>
            <w:vAlign w:val="top"/>
          </w:tcPr>
          <w:p>
            <w:pPr>
              <w:jc w:val="left"/>
            </w:pPr>
            <w:r>
              <w:rPr>
                <w:b/>
                <w:bCs/>
                <w:i w:val="false"/>
                <w:iCs w:val="false"/>
                <w:color w:val="8A5A00"/>
                <w:sz w:val="20"/>
                <w:szCs w:val="20"/>
              </w:rPr>
              <w:t xml:space="preserve">Reactivated — reversed from v1.0</w:t>
            </w:r>
          </w:p>
        </w:tc>
        <w:tc>
          <w:tcPr>
            <w:tcW w:type="dxa" w:w="52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SOW v1.0 retired this as out of scope (cloud-only). Now the offline client target — see Section 4.</w:t>
            </w:r>
          </w:p>
        </w:tc>
      </w:tr>
    </w:tbl>
    <w:p>
      <w:pPr>
        <w:pStyle w:val="Heading1"/>
        <w:pBdr>
          <w:bottom w:val="single" w:color="C9CEDD" w:sz="6" w:space="4"/>
        </w:pBdr>
        <w:spacing w:after="200" w:before="420"/>
      </w:pPr>
      <w:r>
        <w:rPr>
          <w:b/>
          <w:bCs/>
          <w:color w:val="1F2A5C"/>
          <w:sz w:val="30"/>
          <w:szCs w:val="30"/>
        </w:rPr>
        <w:t xml:space="preserve">6. New Module: Delivery Orders (Basic)</w:t>
      </w:r>
    </w:p>
    <w:p>
      <w:pPr>
        <w:spacing w:after="160"/>
      </w:pPr>
      <w:r>
        <w:rPr>
          <w:b w:val="false"/>
          <w:bCs w:val="false"/>
          <w:i w:val="false"/>
          <w:iCs w:val="false"/>
          <w:color w:val="222222"/>
          <w:sz w:val="22"/>
          <w:szCs w:val="22"/>
        </w:rPr>
        <w:t xml:space="preserve">Added to Phase 1 scope by team decision (Section 2, item 2). Deliberately bounded — this is order management for delivery, not a courier or aggregator platform.</w:t>
      </w:r>
    </w:p>
    <w:p>
      <w:pPr>
        <w:pStyle w:val="Heading2"/>
        <w:spacing w:after="140" w:before="320"/>
      </w:pPr>
      <w:r>
        <w:rPr>
          <w:b/>
          <w:bCs/>
          <w:color w:val="3B4A8C"/>
          <w:sz w:val="25"/>
          <w:szCs w:val="25"/>
        </w:rPr>
        <w:t xml:space="preserve">6.1 In scope</w:t>
      </w:r>
    </w:p>
    <w:p>
      <w:pPr>
        <w:pStyle w:val="ListParagraph"/>
        <w:numPr>
          <w:ilvl w:val="0"/>
          <w:numId w:val="1"/>
        </w:numPr>
        <w:spacing w:after="90"/>
      </w:pPr>
      <w:r>
        <w:rPr>
          <w:color w:val="222222"/>
          <w:sz w:val="22"/>
          <w:szCs w:val="22"/>
        </w:rPr>
        <w:t xml:space="preserve">Delivery as a fourth order type alongside dine-in, takeaway, and pickup, using the same order-lifecycle domain as everything else — no separate pipeline.</w:t>
      </w:r>
    </w:p>
    <w:p>
      <w:pPr>
        <w:pStyle w:val="ListParagraph"/>
        <w:numPr>
          <w:ilvl w:val="0"/>
          <w:numId w:val="1"/>
        </w:numPr>
        <w:spacing w:after="90"/>
      </w:pPr>
      <w:r>
        <w:rPr>
          <w:color w:val="222222"/>
          <w:sz w:val="22"/>
          <w:szCs w:val="22"/>
        </w:rPr>
        <w:t xml:space="preserve">Delivery zones and per-zone delivery charges, configured by the owner/manager.</w:t>
      </w:r>
    </w:p>
    <w:p>
      <w:pPr>
        <w:pStyle w:val="ListParagraph"/>
        <w:numPr>
          <w:ilvl w:val="0"/>
          <w:numId w:val="1"/>
        </w:numPr>
        <w:spacing w:after="90"/>
      </w:pPr>
      <w:r>
        <w:rPr>
          <w:color w:val="222222"/>
          <w:sz w:val="22"/>
          <w:szCs w:val="22"/>
        </w:rPr>
        <w:t xml:space="preserve">Customer address capture and basic validation on order creation.</w:t>
      </w:r>
    </w:p>
    <w:p>
      <w:pPr>
        <w:pStyle w:val="ListParagraph"/>
        <w:numPr>
          <w:ilvl w:val="0"/>
          <w:numId w:val="1"/>
        </w:numPr>
        <w:spacing w:after="90"/>
      </w:pPr>
      <w:r>
        <w:rPr>
          <w:color w:val="222222"/>
          <w:sz w:val="22"/>
          <w:szCs w:val="22"/>
        </w:rPr>
        <w:t xml:space="preserve">Order-source tagging (in-house / QR / WhatsApp / staff-entered) — the same tagging pattern already planned for QR vs. staff-entered dine-in orders, extended to cover delivery.</w:t>
      </w:r>
    </w:p>
    <w:p>
      <w:pPr>
        <w:pStyle w:val="ListParagraph"/>
        <w:numPr>
          <w:ilvl w:val="0"/>
          <w:numId w:val="1"/>
        </w:numPr>
        <w:spacing w:after="90"/>
      </w:pPr>
      <w:r>
        <w:rPr>
          <w:color w:val="222222"/>
          <w:sz w:val="22"/>
          <w:szCs w:val="22"/>
        </w:rPr>
        <w:t xml:space="preserve">Delivery status tracking (received → preparing → out for delivery → delivered), visible at the order-confirmation counter alongside dine-in orders.</w:t>
      </w:r>
    </w:p>
    <w:p>
      <w:pPr>
        <w:pStyle w:val="Heading2"/>
        <w:spacing w:after="140" w:before="320"/>
      </w:pPr>
      <w:r>
        <w:rPr>
          <w:b/>
          <w:bCs/>
          <w:color w:val="3B4A8C"/>
          <w:sz w:val="25"/>
          <w:szCs w:val="25"/>
        </w:rPr>
        <w:t xml:space="preserve">6.2 Explicitly out of scope for Phase 1</w:t>
      </w:r>
    </w:p>
    <w:p>
      <w:pPr>
        <w:pStyle w:val="ListParagraph"/>
        <w:numPr>
          <w:ilvl w:val="0"/>
          <w:numId w:val="1"/>
        </w:numPr>
        <w:spacing w:after="90"/>
      </w:pPr>
      <w:r>
        <w:rPr>
          <w:color w:val="222222"/>
          <w:sz w:val="22"/>
          <w:szCs w:val="22"/>
        </w:rPr>
        <w:t xml:space="preserve">Any third-party delivery-aggregator API integration (each platform is its own integration project with its own menu-sync format and commission model — a Phase 2 conversation, one platform at a time, once the client confirms which platforms they actually use).</w:t>
      </w:r>
    </w:p>
    <w:p>
      <w:pPr>
        <w:pStyle w:val="ListParagraph"/>
        <w:numPr>
          <w:ilvl w:val="0"/>
          <w:numId w:val="1"/>
        </w:numPr>
        <w:spacing w:after="90"/>
      </w:pPr>
      <w:r>
        <w:rPr>
          <w:color w:val="222222"/>
          <w:sz w:val="22"/>
          <w:szCs w:val="22"/>
        </w:rPr>
        <w:t xml:space="preserve">Live driver GPS tracking or route optimization.</w:t>
      </w:r>
    </w:p>
    <w:p>
      <w:pPr>
        <w:pStyle w:val="ListParagraph"/>
        <w:numPr>
          <w:ilvl w:val="0"/>
          <w:numId w:val="1"/>
        </w:numPr>
        <w:spacing w:after="90"/>
      </w:pPr>
      <w:r>
        <w:rPr>
          <w:color w:val="222222"/>
          <w:sz w:val="22"/>
          <w:szCs w:val="22"/>
        </w:rPr>
        <w:t xml:space="preserve">A dedicated driver-facing mobile app — delivery status is updated from the order-confirmation counter, not a rider's phone, for Phase 1.</w:t>
      </w:r>
    </w:p>
    <w:p>
      <w:pPr>
        <w:pStyle w:val="Heading1"/>
        <w:pBdr>
          <w:bottom w:val="single" w:color="C9CEDD" w:sz="6" w:space="4"/>
        </w:pBdr>
        <w:spacing w:after="200" w:before="420"/>
      </w:pPr>
      <w:r>
        <w:rPr>
          <w:b/>
          <w:bCs/>
          <w:color w:val="1F2A5C"/>
          <w:sz w:val="30"/>
          <w:szCs w:val="30"/>
        </w:rPr>
        <w:t xml:space="preserve">7. Repository &amp; Branching Strategy</w:t>
      </w:r>
    </w:p>
    <w:p>
      <w:pPr>
        <w:spacing w:after="160"/>
      </w:pPr>
      <w:r>
        <w:rPr>
          <w:b w:val="false"/>
          <w:bCs w:val="false"/>
          <w:i w:val="false"/>
          <w:iCs w:val="false"/>
          <w:color w:val="222222"/>
          <w:sz w:val="22"/>
          <w:szCs w:val="22"/>
        </w:rPr>
        <w:t xml:space="preserve">The repository currently carries commits and settings for at least two other pilot-client theme variants (a CCTV-equipment-shop re-skin and a kids'-clothing-shop re-skin) alongside the core POS engine. Branching the restaurant build directly off whichever branch happens to be checked out risks carrying vertical-specific branding, seed data, or copy into a client-facing product.</w:t>
      </w:r>
    </w:p>
    <w:p>
      <w:pPr>
        <w:pStyle w:val="ListParagraph"/>
        <w:numPr>
          <w:ilvl w:val="0"/>
          <w:numId w:val="1"/>
        </w:numPr>
        <w:spacing w:after="90"/>
      </w:pPr>
      <w:r>
        <w:rPr>
          <w:b/>
          <w:bCs/>
        </w:rPr>
        <w:t xml:space="preserve">Start from a clean point on the shared trunk </w:t>
      </w:r>
      <w:r>
        <w:t xml:space="preserve">— the commit where the core engine (accounts, config, catalog money/utils, customers/khata, receipts, audit) last diverged from any theme-specific branch — not from either themed branch.</w:t>
      </w:r>
    </w:p>
    <w:p>
      <w:pPr>
        <w:pStyle w:val="ListParagraph"/>
        <w:numPr>
          <w:ilvl w:val="0"/>
          <w:numId w:val="1"/>
        </w:numPr>
        <w:spacing w:after="90"/>
      </w:pPr>
      <w:r>
        <w:rPr>
          <w:b/>
          <w:bCs/>
        </w:rPr>
        <w:t xml:space="preserve">New branch: </w:t>
      </w:r>
      <w:r>
        <w:t xml:space="preserve">restaurant-edition (or similar), holding all restaurant-specific apps (tables, menu, reservations, orders, whatsapp, zatca, delivery) as new Django apps alongside the retained core apps.</w:t>
      </w:r>
    </w:p>
    <w:p>
      <w:pPr>
        <w:pStyle w:val="ListParagraph"/>
        <w:numPr>
          <w:ilvl w:val="0"/>
          <w:numId w:val="1"/>
        </w:numPr>
        <w:spacing w:after="90"/>
      </w:pPr>
      <w:r>
        <w:rPr>
          <w:b/>
          <w:bCs/>
        </w:rPr>
        <w:t xml:space="preserve">No shared seed data or branding </w:t>
      </w:r>
      <w:r>
        <w:t xml:space="preserve">from the CCTV or kids'-clothing themes — confirm the restaurant build starts from Neuroqaa's own default theme, then applies the client's actual branding once assets arrive (per SOW dependency, end of Week 2).</w:t>
      </w:r>
    </w:p>
    <w:p>
      <w:pPr>
        <w:pStyle w:val="ListParagraph"/>
        <w:numPr>
          <w:ilvl w:val="0"/>
          <w:numId w:val="1"/>
        </w:numPr>
        <w:spacing w:after="90"/>
      </w:pPr>
      <w:r>
        <w:rPr>
          <w:b/>
          <w:bCs/>
        </w:rPr>
        <w:t xml:space="preserve">CLAUDE.md and README get a restaurant-edition-specific rewrite </w:t>
      </w:r>
      <w:r>
        <w:t xml:space="preserve">early in Week 1 — the current files describe the Quetta retail/CCTV/kids'-clothing context, which will actively mislead anyone (human or AI) working in this branch if left as-is.</w:t>
      </w:r>
    </w:p>
    <w:p>
      <w:pPr>
        <w:pStyle w:val="Heading1"/>
        <w:pBdr>
          <w:bottom w:val="single" w:color="C9CEDD" w:sz="6" w:space="4"/>
        </w:pBdr>
        <w:spacing w:after="200" w:before="420"/>
      </w:pPr>
      <w:r>
        <w:rPr>
          <w:b/>
          <w:bCs/>
          <w:color w:val="1F2A5C"/>
          <w:sz w:val="30"/>
          <w:szCs w:val="30"/>
        </w:rPr>
        <w:t xml:space="preserve">8. Migration Sequence, Mapped to the SOW Milestones</w:t>
      </w:r>
    </w:p>
    <w:p>
      <w:pPr>
        <w:spacing w:after="160"/>
      </w:pPr>
      <w:r>
        <w:rPr>
          <w:b w:val="false"/>
          <w:bCs w:val="false"/>
          <w:i w:val="false"/>
          <w:iCs w:val="false"/>
          <w:color w:val="222222"/>
          <w:sz w:val="22"/>
          <w:szCs w:val="22"/>
        </w:rPr>
        <w:t xml:space="preserve">Matches the 7-week milestone plan in Technical SOW v2.0 (Section 10). Each week names what actually happens to the codebase, not just the client-visible deliverable.</w:t>
      </w:r>
    </w:p>
    <w:tbl>
      <w:tblPr>
        <w:tblW w:type="dxa" w:w="9250"/>
        <w:tblBorders>
          <w:top w:val="single" w:color="C9CEDD" w:sz="4"/>
          <w:left w:val="single" w:color="C9CEDD" w:sz="4"/>
          <w:bottom w:val="single" w:color="C9CEDD" w:sz="4"/>
          <w:right w:val="single" w:color="C9CEDD" w:sz="4"/>
          <w:insideH w:val="single" w:color="C9CEDD" w:sz="4"/>
          <w:insideV w:val="single" w:color="C9CEDD" w:sz="4"/>
        </w:tblBorders>
      </w:tblPr>
      <w:tblGrid>
        <w:gridCol w:w="1350"/>
        <w:gridCol w:w="7900"/>
      </w:tblGrid>
      <w:tr>
        <w:trPr>
          <w:tblHeader/>
        </w:trPr>
        <w:tc>
          <w:tcPr>
            <w:tcW w:type="dxa" w:w="135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Week</w:t>
            </w:r>
          </w:p>
        </w:tc>
        <w:tc>
          <w:tcPr>
            <w:tcW w:type="dxa" w:w="790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Codebase work</w:t>
            </w:r>
          </w:p>
        </w:tc>
      </w:tr>
      <w:tr>
        <w:trPr>
          <w:cantSplit/>
        </w:trPr>
        <w:tc>
          <w:tcPr>
            <w:tcW w:type="dxa" w:w="1350"/>
            <w:tcMar>
              <w:top w:type="dxa" w:w="90"/>
              <w:left w:type="dxa" w:w="110"/>
              <w:bottom w:type="dxa" w:w="90"/>
              <w:right w:type="dxa" w:w="110"/>
            </w:tcMar>
            <w:vAlign w:val="top"/>
          </w:tcPr>
          <w:p>
            <w:pPr>
              <w:jc w:val="left"/>
            </w:pPr>
            <w:r>
              <w:rPr>
                <w:b w:val="false"/>
                <w:bCs w:val="false"/>
                <w:i w:val="false"/>
                <w:iCs w:val="false"/>
                <w:color w:val="222222"/>
                <w:sz w:val="20"/>
                <w:szCs w:val="20"/>
              </w:rPr>
              <w:t xml:space="preserve">1</w:t>
            </w:r>
          </w:p>
        </w:tc>
        <w:tc>
          <w:tcPr>
            <w:tcW w:type="dxa" w:w="7900"/>
            <w:tcMar>
              <w:top w:type="dxa" w:w="90"/>
              <w:left w:type="dxa" w:w="110"/>
              <w:bottom w:type="dxa" w:w="90"/>
              <w:right w:type="dxa" w:w="110"/>
            </w:tcMar>
            <w:vAlign w:val="top"/>
          </w:tcPr>
          <w:p>
            <w:pPr>
              <w:jc w:val="left"/>
            </w:pPr>
            <w:r>
              <w:rPr>
                <w:b w:val="false"/>
                <w:bCs w:val="false"/>
                <w:i w:val="false"/>
                <w:iCs w:val="false"/>
                <w:color w:val="222222"/>
                <w:sz w:val="20"/>
                <w:szCs w:val="20"/>
              </w:rPr>
              <w:t xml:space="preserve">Branch per Section 7. Rewrite CLAUDE.md/README for restaurant-edition context. Finalize the offline-sync design (Section 4.2) and delivery-order data model (Section 6) as ADRs before any app code is written. Remap accounts roles. Begin halala/SAR money-layer changes.</w:t>
            </w:r>
          </w:p>
        </w:tc>
      </w:tr>
      <w:tr>
        <w:trPr>
          <w:cantSplit/>
        </w:trPr>
        <w:tc>
          <w:tcPr>
            <w:tcW w:type="dxa" w:w="13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2</w:t>
            </w:r>
          </w:p>
        </w:tc>
        <w:tc>
          <w:tcPr>
            <w:tcW w:type="dxa" w:w="79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Build tables, reservations, menu/modifier apps — schema designed for both Postgres (cloud) and SQLite (offline) from day one, not retrofitted. Local floor map working against local SQLite in the desktop shell.</w:t>
            </w:r>
          </w:p>
        </w:tc>
      </w:tr>
      <w:tr>
        <w:trPr>
          <w:cantSplit/>
        </w:trPr>
        <w:tc>
          <w:tcPr>
            <w:tcW w:type="dxa" w:w="1350"/>
            <w:tcMar>
              <w:top w:type="dxa" w:w="90"/>
              <w:left w:type="dxa" w:w="110"/>
              <w:bottom w:type="dxa" w:w="90"/>
              <w:right w:type="dxa" w:w="110"/>
            </w:tcMar>
            <w:vAlign w:val="top"/>
          </w:tcPr>
          <w:p>
            <w:pPr>
              <w:jc w:val="left"/>
            </w:pPr>
            <w:r>
              <w:rPr>
                <w:b w:val="false"/>
                <w:bCs w:val="false"/>
                <w:i w:val="false"/>
                <w:iCs w:val="false"/>
                <w:color w:val="222222"/>
                <w:sz w:val="20"/>
                <w:szCs w:val="20"/>
              </w:rPr>
              <w:t xml:space="preserve">3</w:t>
            </w:r>
          </w:p>
        </w:tc>
        <w:tc>
          <w:tcPr>
            <w:tcW w:type="dxa" w:w="7900"/>
            <w:tcMar>
              <w:top w:type="dxa" w:w="90"/>
              <w:left w:type="dxa" w:w="110"/>
              <w:bottom w:type="dxa" w:w="90"/>
              <w:right w:type="dxa" w:w="110"/>
            </w:tcMar>
            <w:vAlign w:val="top"/>
          </w:tcPr>
          <w:p>
            <w:pPr>
              <w:jc w:val="left"/>
            </w:pPr>
            <w:r>
              <w:rPr>
                <w:b w:val="false"/>
                <w:bCs w:val="false"/>
                <w:i w:val="false"/>
                <w:iCs w:val="false"/>
                <w:color w:val="222222"/>
                <w:sz w:val="20"/>
                <w:szCs w:val="20"/>
              </w:rPr>
              <w:t xml:space="preserve">Order lifecycle domain (replacing Sale/create_sale()) with the append-only event pattern from Section 4.2. QR ordering frontend. Order-confirmation counter. First offline-queue prototype: create an order with connectivity killed, verify it syncs cleanly on reconnect.</w:t>
            </w:r>
          </w:p>
        </w:tc>
      </w:tr>
      <w:tr>
        <w:trPr>
          <w:cantSplit/>
        </w:trPr>
        <w:tc>
          <w:tcPr>
            <w:tcW w:type="dxa" w:w="13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4</w:t>
            </w:r>
          </w:p>
        </w:tc>
        <w:tc>
          <w:tcPr>
            <w:tcW w:type="dxa" w:w="79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Billing counter, extended receipt engine (bilingual, ZATCA content). ZATCA middleware integration with queued-and-retried transmission (Section 4.3). Delivery order type wired into billing (zone charges, delivery status).</w:t>
            </w:r>
          </w:p>
        </w:tc>
      </w:tr>
      <w:tr>
        <w:trPr>
          <w:cantSplit/>
        </w:trPr>
        <w:tc>
          <w:tcPr>
            <w:tcW w:type="dxa" w:w="1350"/>
            <w:tcMar>
              <w:top w:type="dxa" w:w="90"/>
              <w:left w:type="dxa" w:w="110"/>
              <w:bottom w:type="dxa" w:w="90"/>
              <w:right w:type="dxa" w:w="110"/>
            </w:tcMar>
            <w:vAlign w:val="top"/>
          </w:tcPr>
          <w:p>
            <w:pPr>
              <w:jc w:val="left"/>
            </w:pPr>
            <w:r>
              <w:rPr>
                <w:b w:val="false"/>
                <w:bCs w:val="false"/>
                <w:i w:val="false"/>
                <w:iCs w:val="false"/>
                <w:color w:val="222222"/>
                <w:sz w:val="20"/>
                <w:szCs w:val="20"/>
              </w:rPr>
              <w:t xml:space="preserve">5</w:t>
            </w:r>
          </w:p>
        </w:tc>
        <w:tc>
          <w:tcPr>
            <w:tcW w:type="dxa" w:w="7900"/>
            <w:tcMar>
              <w:top w:type="dxa" w:w="90"/>
              <w:left w:type="dxa" w:w="110"/>
              <w:bottom w:type="dxa" w:w="90"/>
              <w:right w:type="dxa" w:w="110"/>
            </w:tcMar>
            <w:vAlign w:val="top"/>
          </w:tcPr>
          <w:p>
            <w:pPr>
              <w:jc w:val="left"/>
            </w:pPr>
            <w:r>
              <w:rPr>
                <w:b w:val="false"/>
                <w:bCs w:val="false"/>
                <w:i w:val="false"/>
                <w:iCs w:val="false"/>
                <w:color w:val="222222"/>
                <w:sz w:val="20"/>
                <w:szCs w:val="20"/>
              </w:rPr>
              <w:t xml:space="preserve">WhatsApp concierge. Delivery module core (zones, address capture, source tagging, status flow) completed end-to-end. Arabic translation set + RTL applied using the existing i18n framework (Section 3.1).</w:t>
            </w:r>
          </w:p>
        </w:tc>
      </w:tr>
      <w:tr>
        <w:trPr>
          <w:cantSplit/>
        </w:trPr>
        <w:tc>
          <w:tcPr>
            <w:tcW w:type="dxa" w:w="13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6</w:t>
            </w:r>
          </w:p>
        </w:tc>
        <w:tc>
          <w:tcPr>
            <w:tcW w:type="dxa" w:w="79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Hardening. Dedicated offline/reconnect test pass: kill connectivity mid-shift at each counter, verify sync, verify no duplicate orders or double-billed payments. Delivery-flow QA. Staff training, including on when the system is running offline (client checklist's “clear offline/online status displayed to staff” requirement).</w:t>
            </w:r>
          </w:p>
        </w:tc>
      </w:tr>
      <w:tr>
        <w:trPr>
          <w:cantSplit/>
        </w:trPr>
        <w:tc>
          <w:tcPr>
            <w:tcW w:type="dxa" w:w="1350"/>
            <w:tcMar>
              <w:top w:type="dxa" w:w="90"/>
              <w:left w:type="dxa" w:w="110"/>
              <w:bottom w:type="dxa" w:w="90"/>
              <w:right w:type="dxa" w:w="110"/>
            </w:tcMar>
            <w:vAlign w:val="top"/>
          </w:tcPr>
          <w:p>
            <w:pPr>
              <w:jc w:val="left"/>
            </w:pPr>
            <w:r>
              <w:rPr>
                <w:b w:val="false"/>
                <w:bCs w:val="false"/>
                <w:i w:val="false"/>
                <w:iCs w:val="false"/>
                <w:color w:val="222222"/>
                <w:sz w:val="20"/>
                <w:szCs w:val="20"/>
              </w:rPr>
              <w:t xml:space="preserve">7</w:t>
            </w:r>
          </w:p>
        </w:tc>
        <w:tc>
          <w:tcPr>
            <w:tcW w:type="dxa" w:w="7900"/>
            <w:tcMar>
              <w:top w:type="dxa" w:w="90"/>
              <w:left w:type="dxa" w:w="110"/>
              <w:bottom w:type="dxa" w:w="90"/>
              <w:right w:type="dxa" w:w="110"/>
            </w:tcMar>
            <w:vAlign w:val="top"/>
          </w:tcPr>
          <w:p>
            <w:pPr>
              <w:jc w:val="left"/>
            </w:pPr>
            <w:r>
              <w:rPr>
                <w:b w:val="false"/>
                <w:bCs w:val="false"/>
                <w:i w:val="false"/>
                <w:iCs w:val="false"/>
                <w:color w:val="222222"/>
                <w:sz w:val="20"/>
                <w:szCs w:val="20"/>
              </w:rPr>
              <w:t xml:space="preserve">Go-live on both modes. On-call support through opening week, watching sync behavior under real service load specifically.</w:t>
            </w:r>
          </w:p>
        </w:tc>
      </w:tr>
    </w:tbl>
    <w:p>
      <w:pPr>
        <w:pStyle w:val="Heading1"/>
        <w:pBdr>
          <w:bottom w:val="single" w:color="C9CEDD" w:sz="6" w:space="4"/>
        </w:pBdr>
        <w:spacing w:after="200" w:before="420"/>
      </w:pPr>
      <w:r>
        <w:rPr>
          <w:b/>
          <w:bCs/>
          <w:color w:val="1F2A5C"/>
          <w:sz w:val="30"/>
          <w:szCs w:val="30"/>
        </w:rPr>
        <w:t xml:space="preserve">9. Additional Risks Introduced by This Reconciliation</w:t>
      </w:r>
    </w:p>
    <w:tbl>
      <w:tblPr>
        <w:tblW w:type="dxa" w:w="9250"/>
        <w:tblBorders>
          <w:top w:val="single" w:color="C9CEDD" w:sz="4"/>
          <w:left w:val="single" w:color="C9CEDD" w:sz="4"/>
          <w:bottom w:val="single" w:color="C9CEDD" w:sz="4"/>
          <w:right w:val="single" w:color="C9CEDD" w:sz="4"/>
          <w:insideH w:val="single" w:color="C9CEDD" w:sz="4"/>
          <w:insideV w:val="single" w:color="C9CEDD" w:sz="4"/>
        </w:tblBorders>
      </w:tblPr>
      <w:tblGrid>
        <w:gridCol w:w="3900"/>
        <w:gridCol w:w="5350"/>
      </w:tblGrid>
      <w:tr>
        <w:trPr>
          <w:tblHeader/>
        </w:trPr>
        <w:tc>
          <w:tcPr>
            <w:tcW w:type="dxa" w:w="390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Risk</w:t>
            </w:r>
          </w:p>
        </w:tc>
        <w:tc>
          <w:tcPr>
            <w:tcW w:type="dxa" w:w="535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Mitigation</w:t>
            </w:r>
          </w:p>
        </w:tc>
      </w:tr>
      <w:tr>
        <w:trPr>
          <w:cantSplit/>
        </w:trPr>
        <w:tc>
          <w:tcPr>
            <w:tcW w:type="dxa" w:w="3900"/>
            <w:tcMar>
              <w:top w:type="dxa" w:w="90"/>
              <w:left w:type="dxa" w:w="110"/>
              <w:bottom w:type="dxa" w:w="90"/>
              <w:right w:type="dxa" w:w="110"/>
            </w:tcMar>
            <w:vAlign w:val="top"/>
          </w:tcPr>
          <w:p>
            <w:pPr>
              <w:jc w:val="left"/>
            </w:pPr>
            <w:r>
              <w:rPr>
                <w:b w:val="false"/>
                <w:bCs w:val="false"/>
                <w:i w:val="false"/>
                <w:iCs w:val="false"/>
                <w:color w:val="222222"/>
                <w:sz w:val="20"/>
                <w:szCs w:val="20"/>
              </w:rPr>
              <w:t xml:space="preserve">Offline sync layer is underestimated — it's new engineering, not a config change, and touches every new domain app.</w:t>
            </w:r>
          </w:p>
        </w:tc>
        <w:tc>
          <w:tcPr>
            <w:tcW w:type="dxa" w:w="5350"/>
            <w:tcMar>
              <w:top w:type="dxa" w:w="90"/>
              <w:left w:type="dxa" w:w="110"/>
              <w:bottom w:type="dxa" w:w="90"/>
              <w:right w:type="dxa" w:w="110"/>
            </w:tcMar>
            <w:vAlign w:val="top"/>
          </w:tcPr>
          <w:p>
            <w:pPr>
              <w:jc w:val="left"/>
            </w:pPr>
            <w:r>
              <w:rPr>
                <w:b w:val="false"/>
                <w:bCs w:val="false"/>
                <w:i w:val="false"/>
                <w:iCs w:val="false"/>
                <w:color w:val="222222"/>
                <w:sz w:val="20"/>
                <w:szCs w:val="20"/>
              </w:rPr>
              <w:t xml:space="preserve">Named as its own team role in SOW v2.0 (Section 7/8) rather than folded into general backend work. Design finalized as an ADR in Week 1, before any dependent app code is written.</w:t>
            </w:r>
          </w:p>
        </w:tc>
      </w:tr>
      <w:tr>
        <w:trPr>
          <w:cantSplit/>
        </w:trPr>
        <w:tc>
          <w:tcPr>
            <w:tcW w:type="dxa" w:w="39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Conflict-resolution rules (Section 4.2) turn out to be wrong for a real service scenario not anticipated at design time.</w:t>
            </w:r>
          </w:p>
        </w:tc>
        <w:tc>
          <w:tcPr>
            <w:tcW w:type="dxa" w:w="53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Week 6's dedicated offline/reconnect test pass is scoped specifically to surface this before go-live, not discovered during real service.</w:t>
            </w:r>
          </w:p>
        </w:tc>
      </w:tr>
      <w:tr>
        <w:trPr>
          <w:cantSplit/>
        </w:trPr>
        <w:tc>
          <w:tcPr>
            <w:tcW w:type="dxa" w:w="3900"/>
            <w:tcMar>
              <w:top w:type="dxa" w:w="90"/>
              <w:left w:type="dxa" w:w="110"/>
              <w:bottom w:type="dxa" w:w="90"/>
              <w:right w:type="dxa" w:w="110"/>
            </w:tcMar>
            <w:vAlign w:val="top"/>
          </w:tcPr>
          <w:p>
            <w:pPr>
              <w:jc w:val="left"/>
            </w:pPr>
            <w:r>
              <w:rPr>
                <w:b w:val="false"/>
                <w:bCs w:val="false"/>
                <w:i w:val="false"/>
                <w:iCs w:val="false"/>
                <w:color w:val="222222"/>
                <w:sz w:val="20"/>
                <w:szCs w:val="20"/>
              </w:rPr>
              <w:t xml:space="preserve">Delivery module scope creeps toward full aggregator integration once client sees it working.</w:t>
            </w:r>
          </w:p>
        </w:tc>
        <w:tc>
          <w:tcPr>
            <w:tcW w:type="dxa" w:w="5350"/>
            <w:tcMar>
              <w:top w:type="dxa" w:w="90"/>
              <w:left w:type="dxa" w:w="110"/>
              <w:bottom w:type="dxa" w:w="90"/>
              <w:right w:type="dxa" w:w="110"/>
            </w:tcMar>
            <w:vAlign w:val="top"/>
          </w:tcPr>
          <w:p>
            <w:pPr>
              <w:jc w:val="left"/>
            </w:pPr>
            <w:r>
              <w:rPr>
                <w:b w:val="false"/>
                <w:bCs w:val="false"/>
                <w:i w:val="false"/>
                <w:iCs w:val="false"/>
                <w:color w:val="222222"/>
                <w:sz w:val="20"/>
                <w:szCs w:val="20"/>
              </w:rPr>
              <w:t xml:space="preserve">Section 6.2's exclusions are explicit and repeated in SOW v2.0; any aggregator integration is logged as a new change request, not absorbed.</w:t>
            </w:r>
          </w:p>
        </w:tc>
      </w:tr>
      <w:tr>
        <w:trPr>
          <w:cantSplit/>
        </w:trPr>
        <w:tc>
          <w:tcPr>
            <w:tcW w:type="dxa" w:w="39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Branching from the wrong point in a multi-theme repository carries unrelated branding or seed data into the client-facing build.</w:t>
            </w:r>
          </w:p>
        </w:tc>
        <w:tc>
          <w:tcPr>
            <w:tcW w:type="dxa" w:w="53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Section 7's clean-branch process, executed and verified in Week 1 before any restaurant-specific code is written.</w:t>
            </w:r>
          </w:p>
        </w:tc>
      </w:tr>
    </w:tbl>
    <w:p>
      <w:pPr>
        <w:pStyle w:val="Heading1"/>
        <w:pBdr>
          <w:bottom w:val="single" w:color="C9CEDD" w:sz="6" w:space="4"/>
        </w:pBdr>
        <w:spacing w:after="200" w:before="420"/>
      </w:pPr>
      <w:r>
        <w:rPr>
          <w:b/>
          <w:bCs/>
          <w:color w:val="1F2A5C"/>
          <w:sz w:val="30"/>
          <w:szCs w:val="30"/>
        </w:rPr>
        <w:t xml:space="preserve">10. Still Open — Needs a Client Answer Before Week 2</w:t>
      </w:r>
    </w:p>
    <w:p>
      <w:pPr>
        <w:spacing w:after="160"/>
      </w:pPr>
      <w:r>
        <w:rPr>
          <w:b w:val="false"/>
          <w:bCs w:val="false"/>
          <w:i w:val="false"/>
          <w:iCs w:val="false"/>
          <w:color w:val="222222"/>
          <w:sz w:val="22"/>
          <w:szCs w:val="22"/>
        </w:rPr>
        <w:t xml:space="preserve">Carried from Section 2. These are assumptions the plan proceeds on, not commitments — confirm early enough that a different answer doesn't cost a rebuild.</w:t>
      </w:r>
    </w:p>
    <w:p>
      <w:pPr>
        <w:pStyle w:val="ListParagraph"/>
        <w:numPr>
          <w:ilvl w:val="0"/>
          <w:numId w:val="1"/>
        </w:numPr>
        <w:spacing w:after="90"/>
      </w:pPr>
      <w:r>
        <w:rPr>
          <w:color w:val="222222"/>
          <w:sz w:val="22"/>
          <w:szCs w:val="22"/>
        </w:rPr>
        <w:t xml:space="preserve">Is multi-branch genuinely a launch requirement, or forward-looking language in their checklist? (Assumed: forward-looking.)</w:t>
      </w:r>
    </w:p>
    <w:p>
      <w:pPr>
        <w:pStyle w:val="ListParagraph"/>
        <w:numPr>
          <w:ilvl w:val="0"/>
          <w:numId w:val="1"/>
        </w:numPr>
        <w:spacing w:after="90"/>
      </w:pPr>
      <w:r>
        <w:rPr>
          <w:color w:val="222222"/>
          <w:sz w:val="22"/>
          <w:szCs w:val="22"/>
        </w:rPr>
        <w:t xml:space="preserve">Do they mean ingredient-level recipe costing for launch, or is finished-item availability toggling enough for now? (Assumed: Phase 2.)</w:t>
      </w:r>
    </w:p>
    <w:p>
      <w:pPr>
        <w:pStyle w:val="ListParagraph"/>
        <w:numPr>
          <w:ilvl w:val="0"/>
          <w:numId w:val="1"/>
        </w:numPr>
        <w:spacing w:after="90"/>
      </w:pPr>
      <w:r>
        <w:rPr>
          <w:color w:val="222222"/>
          <w:sz w:val="22"/>
          <w:szCs w:val="22"/>
        </w:rPr>
        <w:t xml:space="preserve">Is there a specific HR/biometric system they want integrated, or was this generic checklist language? (Assumed: no build, ask first.)</w:t>
      </w:r>
    </w:p>
    <w:p>
      <w:pPr>
        <w:pStyle w:val="ListParagraph"/>
        <w:numPr>
          <w:ilvl w:val="0"/>
          <w:numId w:val="1"/>
        </w:numPr>
        <w:spacing w:after="90"/>
      </w:pPr>
      <w:r>
        <w:rPr>
          <w:color w:val="222222"/>
          <w:sz w:val="22"/>
          <w:szCs w:val="22"/>
        </w:rPr>
        <w:t xml:space="preserve">Explicit confirmation that guest QR-at-table ordering is still the intended flow — their document never names it directly. (Assumed: yes, proceeding as scoped.)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2026-09-07T08:49:22.658Z</dcterms:created>
  <dcterms:modified xsi:type="dcterms:W3CDTF">2026-09-07T08:49:22.659Z</dcterms:modified>
</cp:coreProperties>
</file>

<file path=docProps/custom.xml><?xml version="1.0" encoding="utf-8"?>
<Properties xmlns="http://schemas.openxmlformats.org/officeDocument/2006/custom-properties" xmlns:vt="http://schemas.openxmlformats.org/officeDocument/2006/docPropsVTypes"/>
</file>