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58DB7">
      <w:pPr>
        <w:spacing w:before="2600"/>
      </w:pPr>
      <w:r>
        <w:rPr>
          <w:b/>
          <w:bCs/>
          <w:color w:val="4338CA"/>
          <w:sz w:val="60"/>
          <w:szCs w:val="60"/>
        </w:rPr>
        <w:t>SOC 2 Automated Compliance</w:t>
      </w:r>
    </w:p>
    <w:p w14:paraId="14CA5575">
      <w:pPr>
        <w:pBdr>
          <w:bottom w:val="single" w:color="4338CA" w:sz="12" w:space="12"/>
        </w:pBdr>
        <w:spacing w:before="20"/>
      </w:pPr>
      <w:r>
        <w:rPr>
          <w:b/>
          <w:bCs/>
          <w:color w:val="4338CA"/>
          <w:sz w:val="60"/>
          <w:szCs w:val="60"/>
        </w:rPr>
        <w:t>Platform</w:t>
      </w:r>
    </w:p>
    <w:p w14:paraId="30D83140">
      <w:pPr>
        <w:spacing w:before="300"/>
      </w:pPr>
      <w:r>
        <w:rPr>
          <w:color w:val="64748B"/>
          <w:sz w:val="30"/>
          <w:szCs w:val="30"/>
        </w:rPr>
        <w:t>Requirements Specification</w:t>
      </w:r>
    </w:p>
    <w:p w14:paraId="7FD963A1">
      <w:pPr>
        <w:spacing w:before="900"/>
      </w:pPr>
      <w:r>
        <w:rPr>
          <w:i/>
          <w:iCs/>
          <w:color w:val="1E293B"/>
          <w:sz w:val="24"/>
          <w:szCs w:val="24"/>
        </w:rPr>
        <w:t>The phased delivery plan, with deliverables for each phase.</w:t>
      </w:r>
    </w:p>
    <w:p w14:paraId="7393F41D">
      <w:pPr>
        <w:pStyle w:val="2"/>
      </w:pPr>
      <w:r>
        <w:rPr>
          <w:b w:val="0"/>
        </w:rPr>
        <w:t>Contents</w:t>
      </w:r>
    </w:p>
    <w:p w14:paraId="5832836D">
      <w:r>
        <w:rPr>
          <w:b w:val="0"/>
        </w:rPr>
        <w:t>1. Introduction</w:t>
      </w:r>
    </w:p>
    <w:p w14:paraId="3690CDCC">
      <w:r>
        <w:rPr>
          <w:b w:val="0"/>
        </w:rPr>
        <w:t>2. Users, groups, roles, and permissions</w:t>
      </w:r>
    </w:p>
    <w:p w14:paraId="31188F0F">
      <w:r>
        <w:rPr>
          <w:b w:val="0"/>
        </w:rPr>
        <w:t>3. Technology, code ownership, and access</w:t>
      </w:r>
    </w:p>
    <w:p w14:paraId="33B28E92">
      <w:r>
        <w:rPr>
          <w:b w:val="0"/>
        </w:rPr>
        <w:t>4. Delivery plan at a glance</w:t>
      </w:r>
    </w:p>
    <w:p w14:paraId="2EC1E7B6">
      <w:r>
        <w:rPr>
          <w:b w:val="0"/>
        </w:rPr>
        <w:t>5. Phase 1: Core platform (3 deliverables)</w:t>
      </w:r>
    </w:p>
    <w:p w14:paraId="55BBFA5E">
      <w:r>
        <w:rPr>
          <w:b w:val="0"/>
        </w:rPr>
        <w:t>6. Phase 2: Connectors, monitoring, and automation (2 deliverables)</w:t>
      </w:r>
    </w:p>
    <w:p w14:paraId="5DDF03AF">
      <w:r>
        <w:rPr>
          <w:b w:val="0"/>
        </w:rPr>
        <w:t>7. Phase 3: Enterprise risk management and remaining connectors (2 deliverables)</w:t>
      </w:r>
    </w:p>
    <w:p w14:paraId="679EEB44">
      <w:r>
        <w:rPr>
          <w:b w:val="0"/>
        </w:rPr>
        <w:t>8. Connector catalogue</w:t>
      </w:r>
    </w:p>
    <w:p w14:paraId="0CEB97C2">
      <w:r>
        <w:rPr>
          <w:b w:val="0"/>
        </w:rPr>
        <w:t>9. Platform, security, and operations</w:t>
      </w:r>
    </w:p>
    <w:p w14:paraId="22F41591">
      <w:r>
        <w:rPr>
          <w:b w:val="0"/>
        </w:rPr>
        <w:t>10. Assumptions and dependencies</w:t>
      </w:r>
    </w:p>
    <w:p w14:paraId="247DF401">
      <w:r>
        <w:rPr>
          <w:b w:val="0"/>
        </w:rPr>
        <w:t>11. Out of scope</w:t>
      </w:r>
    </w:p>
    <w:p w14:paraId="77D15245">
      <w:r>
        <w:rPr>
          <w:b w:val="0"/>
        </w:rPr>
        <w:t>12. Acceptance and sign-off</w:t>
      </w:r>
    </w:p>
    <w:p w14:paraId="13D4418D">
      <w:r>
        <w:rPr>
          <w:b w:val="0"/>
        </w:rPr>
        <w:t>Appendix A: Glossary</w:t>
      </w:r>
    </w:p>
    <w:p w14:paraId="3FE155CB">
      <w:pPr>
        <w:pStyle w:val="2"/>
      </w:pPr>
      <w:r>
        <w:rPr>
          <w:b w:val="0"/>
        </w:rPr>
        <w:t>1. Introduction</w:t>
      </w:r>
    </w:p>
    <w:p w14:paraId="061535BA">
      <w:pPr>
        <w:pStyle w:val="3"/>
      </w:pPr>
      <w:r>
        <w:rPr>
          <w:b w:val="0"/>
        </w:rPr>
        <w:t>1.1 Purpose</w:t>
      </w:r>
    </w:p>
    <w:p w14:paraId="3751E5A9">
      <w:r>
        <w:rPr>
          <w:b w:val="0"/>
        </w:rPr>
        <w:t>This document specifies the requirements for the SOC 2 automated compliance platform. It is organised the way the platform will be delivered: three phases, each broken into concrete deliverables. Every capability lives inside the phase and deliverable where it is built, so there is no separate feature list to cross-reference.</w:t>
      </w:r>
    </w:p>
    <w:p w14:paraId="1BF2E530">
      <w:pPr>
        <w:pStyle w:val="3"/>
      </w:pPr>
      <w:r>
        <w:rPr>
          <w:b w:val="0"/>
        </w:rPr>
        <w:t>1.2 How to read this document</w:t>
      </w:r>
    </w:p>
    <w:p w14:paraId="5B9E6306">
      <w:pPr>
        <w:pStyle w:val="16"/>
        <w:numPr>
          <w:ilvl w:val="0"/>
          <w:numId w:val="1"/>
        </w:numPr>
      </w:pPr>
      <w:r>
        <w:t>Phase 1 builds the complete core platform: every core module working end to end on manually managed data, with no external connectors or automation yet. Connectors appear in the interface as placeholders, ready to be activated in Phase 2. Three deliverables.</w:t>
      </w:r>
    </w:p>
    <w:p w14:paraId="62EE7CC8">
      <w:pPr>
        <w:pStyle w:val="16"/>
        <w:numPr>
          <w:ilvl w:val="0"/>
          <w:numId w:val="1"/>
        </w:numPr>
      </w:pPr>
      <w:r>
        <w:t>Phase 2 brings the automation: the connector framework and the first set of connectors, continuous scheduled checks and monitoring, findings and alerting, approval workflows, and AI-assisted document drafting. Two deliverables.</w:t>
      </w:r>
    </w:p>
    <w:p w14:paraId="574F9EEF">
      <w:pPr>
        <w:pStyle w:val="16"/>
        <w:numPr>
          <w:ilvl w:val="0"/>
          <w:numId w:val="1"/>
        </w:numPr>
      </w:pPr>
      <w:r>
        <w:t>Phase 3 extends the platform into enterprise risk management, the remaining connectors, and enterprise access. Two deliverables.</w:t>
      </w:r>
    </w:p>
    <w:p w14:paraId="7B221DD2">
      <w:pPr>
        <w:pStyle w:val="16"/>
        <w:numPr>
          <w:ilvl w:val="0"/>
          <w:numId w:val="1"/>
        </w:numPr>
      </w:pPr>
      <w:r>
        <w:t>Each deliverable ends with a demonstration against written exit criteria, so acceptance is observable, not subjective.</w:t>
      </w:r>
    </w:p>
    <w:p w14:paraId="36533051">
      <w:pPr>
        <w:pStyle w:val="3"/>
      </w:pPr>
      <w:r>
        <w:rPr>
          <w:b w:val="0"/>
        </w:rPr>
        <w:t>1.3 Product summary</w:t>
      </w:r>
    </w:p>
    <w:p w14:paraId="1549F81C">
      <w:r>
        <w:rPr>
          <w:b w:val="0"/>
        </w:rPr>
        <w:t>The platform takes an organisation from "we need SOC 2" to "we are audit-ready, continuously." It maps the SOC 2 Trust Services Criteria to a managed set of controls, manages the evidence that proves each control, and ties together the tasks, documents, risks, vendors, assets, and vulnerabilities around them through one connected data model. From Phase 2 it connects to the organisation's systems to collect that evidence automatically and monitor it on a schedule, alerting the team the moment a control drifts out of compliance.</w:t>
      </w:r>
    </w:p>
    <w:p w14:paraId="60F7D581">
      <w:pPr>
        <w:pStyle w:val="3"/>
      </w:pPr>
      <w:r>
        <w:rPr>
          <w:b w:val="0"/>
        </w:rPr>
        <w:t>1.4 Goals</w:t>
      </w:r>
    </w:p>
    <w:p w14:paraId="6FEE82E7">
      <w:pPr>
        <w:pStyle w:val="16"/>
        <w:numPr>
          <w:ilvl w:val="0"/>
          <w:numId w:val="1"/>
        </w:numPr>
      </w:pPr>
      <w:r>
        <w:t>Cut the manual effort of a SOC 2 program by automating evidence collection.</w:t>
      </w:r>
    </w:p>
    <w:p w14:paraId="5A18A488">
      <w:pPr>
        <w:pStyle w:val="16"/>
        <w:numPr>
          <w:ilvl w:val="0"/>
          <w:numId w:val="1"/>
        </w:numPr>
      </w:pPr>
      <w:r>
        <w:t>Give the organisation a single, always-current view of compliance posture.</w:t>
      </w:r>
    </w:p>
    <w:p w14:paraId="57FD908B">
      <w:pPr>
        <w:pStyle w:val="16"/>
        <w:numPr>
          <w:ilvl w:val="0"/>
          <w:numId w:val="1"/>
        </w:numPr>
      </w:pPr>
      <w:r>
        <w:t>Detect and alert on control failures continuously, the core of a Type II program.</w:t>
      </w:r>
    </w:p>
    <w:p w14:paraId="7C93B99D">
      <w:pPr>
        <w:pStyle w:val="16"/>
        <w:numPr>
          <w:ilvl w:val="0"/>
          <w:numId w:val="1"/>
        </w:numPr>
      </w:pPr>
      <w:r>
        <w:t>Produce auditor-ready evidence on demand.</w:t>
      </w:r>
    </w:p>
    <w:p w14:paraId="36680A0E">
      <w:pPr>
        <w:pStyle w:val="16"/>
        <w:numPr>
          <w:ilvl w:val="0"/>
          <w:numId w:val="1"/>
        </w:numPr>
      </w:pPr>
      <w:r>
        <w:t>Provide a foundation that grows into a full multi-framework GRC platform.</w:t>
      </w:r>
    </w:p>
    <w:p w14:paraId="7D690A20">
      <w:pPr>
        <w:pStyle w:val="2"/>
      </w:pPr>
      <w:r>
        <w:rPr>
          <w:b w:val="0"/>
        </w:rPr>
        <w:t>2. Users, groups, roles, and permissions</w:t>
      </w:r>
    </w:p>
    <w:p w14:paraId="7393A029">
      <w:r>
        <w:rPr>
          <w:b w:val="0"/>
        </w:rPr>
        <w:t>The platform enforces role-based access control from day one. Users can be organised into groups, roles can be assigned to individual users or to groups, and permissions are granular per module, so each person sees only what their responsibilities require.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4"/>
        <w:gridCol w:w="4888"/>
        <w:gridCol w:w="2288"/>
      </w:tblGrid>
      <w:tr w14:paraId="70F3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7ABB04EC">
            <w:r>
              <w:rPr>
                <w:b/>
              </w:rPr>
              <w:t>Role</w:t>
            </w:r>
          </w:p>
        </w:tc>
        <w:tc>
          <w:tcPr>
            <w:tcW w:w="4700" w:type="dxa"/>
          </w:tcPr>
          <w:p w14:paraId="00B6B28F">
            <w:r>
              <w:rPr>
                <w:b/>
              </w:rPr>
              <w:t>Description</w:t>
            </w:r>
          </w:p>
        </w:tc>
        <w:tc>
          <w:tcPr>
            <w:tcW w:w="2200" w:type="dxa"/>
          </w:tcPr>
          <w:p w14:paraId="1CAE7F81">
            <w:r>
              <w:rPr>
                <w:b/>
              </w:rPr>
              <w:t>Access</w:t>
            </w:r>
          </w:p>
        </w:tc>
      </w:tr>
      <w:tr w14:paraId="3CF0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0088B064">
            <w:r>
              <w:rPr>
                <w:b w:val="0"/>
              </w:rPr>
              <w:t>Owner / Admin</w:t>
            </w:r>
          </w:p>
        </w:tc>
        <w:tc>
          <w:tcPr>
            <w:tcW w:w="4700" w:type="dxa"/>
          </w:tcPr>
          <w:p w14:paraId="5B16DBE1">
            <w:r>
              <w:rPr>
                <w:b w:val="0"/>
              </w:rPr>
              <w:t>Program owner. Configures the workspace, users, groups, and scope.</w:t>
            </w:r>
          </w:p>
        </w:tc>
        <w:tc>
          <w:tcPr>
            <w:tcW w:w="2200" w:type="dxa"/>
          </w:tcPr>
          <w:p w14:paraId="56AF9AC0">
            <w:r>
              <w:rPr>
                <w:b w:val="0"/>
              </w:rPr>
              <w:t>Full</w:t>
            </w:r>
          </w:p>
        </w:tc>
      </w:tr>
      <w:tr w14:paraId="7C33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0215F71C">
            <w:r>
              <w:rPr>
                <w:b w:val="0"/>
              </w:rPr>
              <w:t>Compliance manager</w:t>
            </w:r>
          </w:p>
        </w:tc>
        <w:tc>
          <w:tcPr>
            <w:tcW w:w="4700" w:type="dxa"/>
          </w:tcPr>
          <w:p w14:paraId="35BA138E">
            <w:r>
              <w:rPr>
                <w:b w:val="0"/>
              </w:rPr>
              <w:t>Runs the day-to-day program: controls, evidence, documents, tasks, risks, vendors, assets.</w:t>
            </w:r>
          </w:p>
        </w:tc>
        <w:tc>
          <w:tcPr>
            <w:tcW w:w="2200" w:type="dxa"/>
          </w:tcPr>
          <w:p w14:paraId="672438E4">
            <w:r>
              <w:rPr>
                <w:b w:val="0"/>
              </w:rPr>
              <w:t>Read and write on compliance data</w:t>
            </w:r>
          </w:p>
        </w:tc>
      </w:tr>
      <w:tr w14:paraId="794B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06AEF75B">
            <w:r>
              <w:rPr>
                <w:b w:val="0"/>
              </w:rPr>
              <w:t>Control owner</w:t>
            </w:r>
          </w:p>
        </w:tc>
        <w:tc>
          <w:tcPr>
            <w:tcW w:w="4700" w:type="dxa"/>
          </w:tcPr>
          <w:p w14:paraId="000D493E">
            <w:r>
              <w:rPr>
                <w:b w:val="0"/>
              </w:rPr>
              <w:t>Owns specific controls and their evidence and tasks.</w:t>
            </w:r>
          </w:p>
        </w:tc>
        <w:tc>
          <w:tcPr>
            <w:tcW w:w="2200" w:type="dxa"/>
          </w:tcPr>
          <w:p w14:paraId="4DF58586">
            <w:r>
              <w:rPr>
                <w:b w:val="0"/>
              </w:rPr>
              <w:t>Scoped to assigned controls</w:t>
            </w:r>
          </w:p>
        </w:tc>
      </w:tr>
      <w:tr w14:paraId="736D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4BCFAEBD">
            <w:r>
              <w:rPr>
                <w:b w:val="0"/>
              </w:rPr>
              <w:t>Employee</w:t>
            </w:r>
          </w:p>
        </w:tc>
        <w:tc>
          <w:tcPr>
            <w:tcW w:w="4700" w:type="dxa"/>
          </w:tcPr>
          <w:p w14:paraId="54B9C0DD">
            <w:r>
              <w:rPr>
                <w:b w:val="0"/>
              </w:rPr>
              <w:t>Completes assigned tasks such as document acknowledgements and attestations.</w:t>
            </w:r>
          </w:p>
        </w:tc>
        <w:tc>
          <w:tcPr>
            <w:tcW w:w="2200" w:type="dxa"/>
          </w:tcPr>
          <w:p w14:paraId="74AA334C">
            <w:r>
              <w:rPr>
                <w:b w:val="0"/>
              </w:rPr>
              <w:t>Self-serve tasks only</w:t>
            </w:r>
          </w:p>
        </w:tc>
      </w:tr>
      <w:tr w14:paraId="110D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Pr>
          <w:p w14:paraId="1FD05EF4">
            <w:r>
              <w:rPr>
                <w:b w:val="0"/>
              </w:rPr>
              <w:t>Auditor</w:t>
            </w:r>
          </w:p>
        </w:tc>
        <w:tc>
          <w:tcPr>
            <w:tcW w:w="4700" w:type="dxa"/>
          </w:tcPr>
          <w:p w14:paraId="5480159C">
            <w:r>
              <w:rPr>
                <w:b w:val="0"/>
              </w:rPr>
              <w:t>Reviews evidence for a defined audit window.</w:t>
            </w:r>
          </w:p>
        </w:tc>
        <w:tc>
          <w:tcPr>
            <w:tcW w:w="2200" w:type="dxa"/>
          </w:tcPr>
          <w:p w14:paraId="6FF40665">
            <w:r>
              <w:rPr>
                <w:b w:val="0"/>
              </w:rPr>
              <w:t>Read-only, scoped to the audit</w:t>
            </w:r>
          </w:p>
        </w:tc>
      </w:tr>
    </w:tbl>
    <w:p w14:paraId="4CFDD8EC"/>
    <w:p w14:paraId="5B0D2429">
      <w:r>
        <w:rPr>
          <w:b w:val="0"/>
        </w:rPr>
        <w:t>Granular permissions per module and per action sit underneath these roles, and custom roles can be composed from them.</w:t>
      </w:r>
    </w:p>
    <w:p w14:paraId="18848978">
      <w:pPr>
        <w:pStyle w:val="2"/>
      </w:pPr>
      <w:r>
        <w:rPr>
          <w:b w:val="0"/>
        </w:rPr>
        <w:t>4. Delivery plan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5824"/>
        <w:gridCol w:w="1976"/>
      </w:tblGrid>
      <w:tr w14:paraId="3EA1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361F19ED">
            <w:r>
              <w:rPr>
                <w:b/>
              </w:rPr>
              <w:t>Phase</w:t>
            </w:r>
          </w:p>
        </w:tc>
        <w:tc>
          <w:tcPr>
            <w:tcW w:w="5600" w:type="dxa"/>
          </w:tcPr>
          <w:p w14:paraId="32713634">
            <w:r>
              <w:rPr>
                <w:b/>
              </w:rPr>
              <w:t>Focus</w:t>
            </w:r>
          </w:p>
        </w:tc>
        <w:tc>
          <w:tcPr>
            <w:tcW w:w="1900" w:type="dxa"/>
          </w:tcPr>
          <w:p w14:paraId="53AD2387">
            <w:r>
              <w:rPr>
                <w:b/>
              </w:rPr>
              <w:t>Deliverables</w:t>
            </w:r>
          </w:p>
        </w:tc>
      </w:tr>
      <w:tr w14:paraId="17E0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4618FC5">
            <w:r>
              <w:rPr>
                <w:b w:val="0"/>
              </w:rPr>
              <w:t>Phase 1</w:t>
            </w:r>
          </w:p>
        </w:tc>
        <w:tc>
          <w:tcPr>
            <w:tcW w:w="5600" w:type="dxa"/>
          </w:tcPr>
          <w:p w14:paraId="20A53E4E">
            <w:r>
              <w:rPr>
                <w:b w:val="0"/>
              </w:rPr>
              <w:t>The complete core platform, working end to end on manual data: controls, evidence, tasks, documents, risks, vendors, assets, and vulnerabilities, all linked. No external connectors; placeholders visible in the interface.</w:t>
            </w:r>
          </w:p>
        </w:tc>
        <w:tc>
          <w:tcPr>
            <w:tcW w:w="1900" w:type="dxa"/>
          </w:tcPr>
          <w:p w14:paraId="41561988">
            <w:r>
              <w:rPr>
                <w:b w:val="0"/>
              </w:rPr>
              <w:t>3 deliverables</w:t>
            </w:r>
          </w:p>
        </w:tc>
      </w:tr>
      <w:tr w14:paraId="362C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65CBBAD5">
            <w:r>
              <w:rPr>
                <w:b w:val="0"/>
              </w:rPr>
              <w:t>Phase 2</w:t>
            </w:r>
          </w:p>
        </w:tc>
        <w:tc>
          <w:tcPr>
            <w:tcW w:w="5600" w:type="dxa"/>
          </w:tcPr>
          <w:p w14:paraId="2F26BFA1">
            <w:r>
              <w:rPr>
                <w:b w:val="0"/>
              </w:rPr>
              <w:t>Automation: the connector framework and the first fifteen connectors (core cloud AWS), continuous checks and monitoring, findings and alerting, approval workflows, and AI document drafting.</w:t>
            </w:r>
          </w:p>
        </w:tc>
        <w:tc>
          <w:tcPr>
            <w:tcW w:w="1900" w:type="dxa"/>
          </w:tcPr>
          <w:p w14:paraId="57F95909">
            <w:r>
              <w:rPr>
                <w:b w:val="0"/>
              </w:rPr>
              <w:t>2 deliverables</w:t>
            </w:r>
          </w:p>
        </w:tc>
      </w:tr>
      <w:tr w14:paraId="4AFC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Pr>
          <w:p w14:paraId="7CFE84AC">
            <w:r>
              <w:rPr>
                <w:b w:val="0"/>
              </w:rPr>
              <w:t>Phase 3</w:t>
            </w:r>
          </w:p>
        </w:tc>
        <w:tc>
          <w:tcPr>
            <w:tcW w:w="5600" w:type="dxa"/>
          </w:tcPr>
          <w:p w14:paraId="0907AF64">
            <w:r>
              <w:rPr>
                <w:b w:val="0"/>
              </w:rPr>
              <w:t>Enterprise risk management (RCSA, risk and framework assessments, incidents, KRIs, risk appetite, AI mitigation), the remaining connectors, live scanner and CIS hardening, SSO, access reviews, and auditor access.</w:t>
            </w:r>
          </w:p>
        </w:tc>
        <w:tc>
          <w:tcPr>
            <w:tcW w:w="1900" w:type="dxa"/>
          </w:tcPr>
          <w:p w14:paraId="3E2FF540">
            <w:r>
              <w:rPr>
                <w:b w:val="0"/>
              </w:rPr>
              <w:t>2 deliverables</w:t>
            </w:r>
          </w:p>
        </w:tc>
      </w:tr>
    </w:tbl>
    <w:p w14:paraId="4BC9BB14"/>
    <w:p w14:paraId="1017EEA3">
      <w:pPr>
        <w:pStyle w:val="2"/>
      </w:pPr>
      <w:r>
        <w:rPr>
          <w:b w:val="0"/>
        </w:rPr>
        <w:t>5. Phase 1: Core platform (3 deliverables)</w:t>
      </w:r>
    </w:p>
    <w:p w14:paraId="473C99EF">
      <w:r>
        <w:rPr>
          <w:b w:val="0"/>
        </w:rPr>
        <w:t>Outcome. A security-first, multi-tenant SOC 2 platform the team can use from day one: controls, evidence, tasks, documents and policies, risks, vendors, assets, and vulnerabilities, all working on manually managed data and connected to one another, with dashboards showing live readiness. No external connectors yet; the integrations area shows each planned connector as a placeholder.</w:t>
      </w:r>
    </w:p>
    <w:p w14:paraId="53F8AE6A">
      <w:pPr>
        <w:pStyle w:val="3"/>
      </w:pPr>
      <w:r>
        <w:rPr>
          <w:b w:val="0"/>
        </w:rPr>
        <w:t>Deliverable 1.1: Foundation, controls, evidence, dashboards, and tasks</w:t>
      </w:r>
    </w:p>
    <w:p w14:paraId="3AD229C6">
      <w:r>
        <w:rPr>
          <w:b/>
        </w:rPr>
        <w:t>Wireframes first</w:t>
      </w:r>
    </w:p>
    <w:p w14:paraId="6034F05F">
      <w:pPr>
        <w:pStyle w:val="16"/>
        <w:numPr>
          <w:ilvl w:val="0"/>
          <w:numId w:val="1"/>
        </w:numPr>
      </w:pPr>
      <w:r>
        <w:t>Wireframes for the dashboards and key screens are produced and agreed before build starts.</w:t>
      </w:r>
    </w:p>
    <w:p w14:paraId="6BBF73B9">
      <w:r>
        <w:rPr>
          <w:b/>
        </w:rPr>
        <w:t>Multi-tenancy</w:t>
      </w:r>
    </w:p>
    <w:p w14:paraId="31BEF60F">
      <w:pPr>
        <w:pStyle w:val="16"/>
        <w:numPr>
          <w:ilvl w:val="0"/>
          <w:numId w:val="1"/>
        </w:numPr>
      </w:pPr>
      <w:r>
        <w:t>Multi-tenant workspaces with strict isolation: a user in one workspace cannot read or write another workspace's data, proven by an automated isolation test that runs on every change.</w:t>
      </w:r>
    </w:p>
    <w:p w14:paraId="3F1261F7">
      <w:r>
        <w:rPr>
          <w:b/>
        </w:rPr>
        <w:t>Users and access</w:t>
      </w:r>
    </w:p>
    <w:p w14:paraId="5215489C">
      <w:pPr>
        <w:pStyle w:val="16"/>
        <w:numPr>
          <w:ilvl w:val="0"/>
          <w:numId w:val="1"/>
        </w:numPr>
      </w:pPr>
      <w:r>
        <w:t>Role-based access control with users organised into groups, roles assigned to users or groups, and granular permissions set per module and per action, so each person sees and does only what their responsibilities require; secure authentication with multi-factor authentication required for administrative accounts, and all access scoped by workspace.</w:t>
      </w:r>
    </w:p>
    <w:p w14:paraId="618772EF">
      <w:r>
        <w:rPr>
          <w:b/>
        </w:rPr>
        <w:t>Audit trail, platform-wide</w:t>
      </w:r>
    </w:p>
    <w:p w14:paraId="41D016F3">
      <w:pPr>
        <w:pStyle w:val="16"/>
        <w:numPr>
          <w:ilvl w:val="0"/>
          <w:numId w:val="1"/>
        </w:numPr>
      </w:pPr>
      <w:r>
        <w:t>Every state-changing action is recorded with the acting user, a timestamp, and the before and after values; the trail cannot be edited and can be exported.</w:t>
      </w:r>
    </w:p>
    <w:p w14:paraId="6B59B62E">
      <w:r>
        <w:rPr>
          <w:b/>
        </w:rPr>
        <w:t>SOC 2 control library</w:t>
      </w:r>
    </w:p>
    <w:p w14:paraId="53BA4BBD">
      <w:pPr>
        <w:pStyle w:val="16"/>
        <w:numPr>
          <w:ilvl w:val="0"/>
          <w:numId w:val="1"/>
        </w:numPr>
      </w:pPr>
      <w:r>
        <w:t>A prebuilt control set covering all Trust Services Criteria across the five categories. Security is always in scope, and Availability, Confidentiality, Processing Integrity, and Privacy can be switched on or off per engagement.</w:t>
      </w:r>
    </w:p>
    <w:p w14:paraId="32D3F995">
      <w:pPr>
        <w:pStyle w:val="16"/>
        <w:numPr>
          <w:ilvl w:val="0"/>
          <w:numId w:val="1"/>
        </w:numPr>
      </w:pPr>
      <w:r>
        <w:t>Every control carries a Type and a Sub-type column (for example HR, Cloud, Development, CI/CD, Endpoint Devices, Security Tooling and XDR), so the library can be filtered, grouped, and owned domain by domain.</w:t>
      </w:r>
    </w:p>
    <w:p w14:paraId="1D6AA264">
      <w:pPr>
        <w:pStyle w:val="16"/>
        <w:numPr>
          <w:ilvl w:val="0"/>
          <w:numId w:val="1"/>
        </w:numPr>
      </w:pPr>
      <w:r>
        <w:t>Each control record holds a unique code, title, description, owner, implementation guidance, mapped criteria, linked evidence, and a status; a user can add a custom control, edit any control, or disable a control with a recorded justification.</w:t>
      </w:r>
    </w:p>
    <w:p w14:paraId="6B4821DE">
      <w:pPr>
        <w:pStyle w:val="16"/>
        <w:numPr>
          <w:ilvl w:val="0"/>
          <w:numId w:val="1"/>
        </w:numPr>
      </w:pPr>
      <w:r>
        <w:t>The audit type is configurable as Type I or Type II, with observation-window start and end dates; a coverage view lists any in-scope criterion with no mapped control and any control with no evidence.</w:t>
      </w:r>
    </w:p>
    <w:p w14:paraId="3BCA4DB5">
      <w:r>
        <w:rPr>
          <w:b/>
        </w:rPr>
        <w:t>Evidence management (manual)</w:t>
      </w:r>
    </w:p>
    <w:p w14:paraId="47F46F3C">
      <w:pPr>
        <w:pStyle w:val="16"/>
        <w:numPr>
          <w:ilvl w:val="0"/>
          <w:numId w:val="1"/>
        </w:numPr>
      </w:pPr>
      <w:r>
        <w:t>An evidence library where a user uploads a file, image, or link as evidence against any control. Every item records its owner, source, collection date, description, and renewal date.</w:t>
      </w:r>
    </w:p>
    <w:p w14:paraId="135DF0E4">
      <w:pPr>
        <w:pStyle w:val="16"/>
        <w:numPr>
          <w:ilvl w:val="0"/>
          <w:numId w:val="1"/>
        </w:numPr>
      </w:pPr>
      <w:r>
        <w:t>Each evidence type has a validity period, and evidence past it is flagged stale with a renewal task created automatically; a single item can satisfy more than one control; every item has a content hash recorded for integrity and can be downloaded.</w:t>
      </w:r>
    </w:p>
    <w:p w14:paraId="32AA2F03">
      <w:r>
        <w:rPr>
          <w:b/>
        </w:rPr>
        <w:t>Readiness dashboards</w:t>
      </w:r>
    </w:p>
    <w:p w14:paraId="3BBA069B">
      <w:pPr>
        <w:pStyle w:val="16"/>
        <w:numPr>
          <w:ilvl w:val="0"/>
          <w:numId w:val="1"/>
        </w:numPr>
      </w:pPr>
      <w:r>
        <w:t>A posture dashboard with overall and per-category health; a criteria view colouring every SOC 2 criterion by the health of its controls; an evidence view showing current, aging, and stale items with a renewal queue.</w:t>
      </w:r>
    </w:p>
    <w:p w14:paraId="39735D9A">
      <w:pPr>
        <w:pStyle w:val="16"/>
        <w:numPr>
          <w:ilvl w:val="0"/>
          <w:numId w:val="1"/>
        </w:numPr>
      </w:pPr>
      <w:r>
        <w:t>A readiness percentage, overall and per criterion, tracked over time, and a readiness and gap-assessment report exported as a branded PDF.</w:t>
      </w:r>
    </w:p>
    <w:p w14:paraId="03F1B778">
      <w:r>
        <w:rPr>
          <w:b/>
        </w:rPr>
        <w:t>Task and issue management</w:t>
      </w:r>
    </w:p>
    <w:p w14:paraId="649328E7">
      <w:pPr>
        <w:pStyle w:val="16"/>
        <w:numPr>
          <w:ilvl w:val="0"/>
          <w:numId w:val="1"/>
        </w:numPr>
      </w:pPr>
      <w:r>
        <w:t>Create tasks with a title, description, source, priority, category, severity, assigned owners, due date, SLA level, and recurrence; recurring tasks can require approval.</w:t>
      </w:r>
    </w:p>
    <w:p w14:paraId="689575B1">
      <w:pPr>
        <w:pStyle w:val="16"/>
        <w:numPr>
          <w:ilvl w:val="0"/>
          <w:numId w:val="1"/>
        </w:numPr>
      </w:pPr>
      <w:r>
        <w:t>Status flow of open, in progress, under review, and closed, with reopen; every transition carries a comment and can attach evidence or notes; sub-tasks under any task; SLA definitions per level; and a full, immutable, timestamped history of who created, assigned, and changed what.</w:t>
      </w:r>
    </w:p>
    <w:p w14:paraId="3A9D0BCE">
      <w:pPr>
        <w:pStyle w:val="16"/>
        <w:numPr>
          <w:ilvl w:val="0"/>
          <w:numId w:val="1"/>
        </w:numPr>
      </w:pPr>
      <w:r>
        <w:t>Loosely coupled by design: the module works standalone, and an organisation already running Jira keeps Jira. The Phase 2 Jira connector syncs tasks instead of replacing the tool.</w:t>
      </w:r>
    </w:p>
    <w:p w14:paraId="1763EC4B">
      <w:r>
        <w:rPr>
          <w:b/>
        </w:rPr>
        <w:t>Connector placeholders</w:t>
      </w:r>
    </w:p>
    <w:p w14:paraId="7E3BC416">
      <w:pPr>
        <w:pStyle w:val="16"/>
        <w:numPr>
          <w:ilvl w:val="0"/>
          <w:numId w:val="1"/>
        </w:numPr>
      </w:pPr>
      <w:r>
        <w:t>The integrations area lists the planned connectors as visible placeholders, activated from Phase 2.</w:t>
      </w:r>
    </w:p>
    <w:p w14:paraId="07A36FCF">
      <w:pPr>
        <w:pStyle w:val="3"/>
      </w:pPr>
      <w:r>
        <w:rPr>
          <w:b w:val="0"/>
        </w:rPr>
        <w:t>Deliverable 1.2: Documents and policies, risk register, and third-party vendor risk</w:t>
      </w:r>
    </w:p>
    <w:p w14:paraId="16378450">
      <w:r>
        <w:rPr>
          <w:b/>
        </w:rPr>
        <w:t>Documents and policies</w:t>
      </w:r>
    </w:p>
    <w:p w14:paraId="027682EE">
      <w:pPr>
        <w:pStyle w:val="16"/>
        <w:numPr>
          <w:ilvl w:val="0"/>
          <w:numId w:val="1"/>
        </w:numPr>
      </w:pPr>
      <w:r>
        <w:t>A template library for the core SOC 2 document set: Information Security, Access Control, Change Management, Incident Response, Business Continuity and Disaster Recovery, Vendor Management, Data Classification and Retention, Acceptable Use, and Risk Management.</w:t>
      </w:r>
    </w:p>
    <w:p w14:paraId="371B2D67">
      <w:pPr>
        <w:pStyle w:val="16"/>
        <w:numPr>
          <w:ilvl w:val="0"/>
          <w:numId w:val="1"/>
        </w:numPr>
      </w:pPr>
      <w:r>
        <w:t>Documents are edited in a rich-text editor with reusable variables for company and role names; lifecycle of draft, review, and approved, with the approver and date recorded; published versions are immutable, and the platform shows the differences between versions.</w:t>
      </w:r>
    </w:p>
    <w:p w14:paraId="7DA4E09C">
      <w:pPr>
        <w:pStyle w:val="16"/>
        <w:numPr>
          <w:ilvl w:val="0"/>
          <w:numId w:val="1"/>
        </w:numPr>
      </w:pPr>
      <w:r>
        <w:t>Scheduled review dates with overdue flags; every document links to the controls, risks, and assets it supports; acknowledgement campaigns assign a document to people or groups, track each signature, remind non-signers, and export completion as audit evidence.</w:t>
      </w:r>
    </w:p>
    <w:p w14:paraId="54C8743F">
      <w:pPr>
        <w:pStyle w:val="16"/>
        <w:numPr>
          <w:ilvl w:val="0"/>
          <w:numId w:val="1"/>
        </w:numPr>
      </w:pPr>
      <w:r>
        <w:t>Everything is human-approved. AI-assisted drafting arrives in Phase 2 and never publishes anything on its own.</w:t>
      </w:r>
    </w:p>
    <w:p w14:paraId="20759FF6">
      <w:r>
        <w:rPr>
          <w:b/>
        </w:rPr>
        <w:t>Risk register</w:t>
      </w:r>
    </w:p>
    <w:p w14:paraId="0B6A9914">
      <w:pPr>
        <w:pStyle w:val="16"/>
        <w:numPr>
          <w:ilvl w:val="0"/>
          <w:numId w:val="1"/>
        </w:numPr>
      </w:pPr>
      <w:r>
        <w:t>The flow: identify and record the risk, score its inherent likelihood and impact, link the controls that mitigate it, decide the treatment, record the residual score, and revisit on scheduled review dates.</w:t>
      </w:r>
    </w:p>
    <w:p w14:paraId="1DB074E5">
      <w:pPr>
        <w:pStyle w:val="16"/>
        <w:numPr>
          <w:ilvl w:val="0"/>
          <w:numId w:val="1"/>
        </w:numPr>
      </w:pPr>
      <w:r>
        <w:t>Risks are scored on a configurable likelihood by impact matrix, capturing an inherent score, a residual score, an owner, a category, and a treatment decision (mitigate, accept, avoid, transfer).</w:t>
      </w:r>
    </w:p>
    <w:p w14:paraId="18F1CB58">
      <w:pPr>
        <w:pStyle w:val="16"/>
        <w:numPr>
          <w:ilvl w:val="0"/>
          <w:numId w:val="1"/>
        </w:numPr>
      </w:pPr>
      <w:r>
        <w:t>Each risk links to the controls that mitigate it, and any risk with no linked control is flagged; formal risk acceptance with an approver, a rationale, and an expiry date, where an expired acceptance reopens the risk.</w:t>
      </w:r>
    </w:p>
    <w:p w14:paraId="4277CB1E">
      <w:pPr>
        <w:pStyle w:val="16"/>
        <w:numPr>
          <w:ilvl w:val="0"/>
          <w:numId w:val="1"/>
        </w:numPr>
      </w:pPr>
      <w:r>
        <w:t>The register ships with a starter risk library: a prebuilt set of common risks (for example unauthorised access, data loss, key-person dependency, vendor outage) so the program starts from a solid base rather than a blank page; heatmap and treatment-status export.</w:t>
      </w:r>
    </w:p>
    <w:p w14:paraId="456D0211">
      <w:r>
        <w:rPr>
          <w:b/>
        </w:rPr>
        <w:t>Third-party vendor risk</w:t>
      </w:r>
    </w:p>
    <w:p w14:paraId="60A7649B">
      <w:pPr>
        <w:pStyle w:val="16"/>
        <w:numPr>
          <w:ilvl w:val="0"/>
          <w:numId w:val="1"/>
        </w:numPr>
      </w:pPr>
      <w:r>
        <w:t>A vendor register capturing business context (name, type, industry, website, business owner), data and scope (tier, data classification, data types, systems in scope), contacts, and commercials (contract dates, annual value), with duplicate detection on save.</w:t>
      </w:r>
    </w:p>
    <w:p w14:paraId="42686AA2">
      <w:pPr>
        <w:pStyle w:val="16"/>
        <w:numPr>
          <w:ilvl w:val="0"/>
          <w:numId w:val="1"/>
        </w:numPr>
      </w:pPr>
      <w:r>
        <w:t>A staged vendor lifecycle from intake to offboarding: Intake and Scoping, Inherent Risk Tiering, Due Diligence Planning, Questionnaire and Evidence, Risk Analysis and Scoring, Findings and Remediation, Contracting and Controls, Approval Decision, Onboarding, Continuous Monitoring, and Reassessment and Offboarding.</w:t>
      </w:r>
    </w:p>
    <w:p w14:paraId="711EEDB5">
      <w:pPr>
        <w:pStyle w:val="16"/>
        <w:numPr>
          <w:ilvl w:val="0"/>
          <w:numId w:val="1"/>
        </w:numPr>
      </w:pPr>
      <w:r>
        <w:t>Inherent risk tiering on weighted factors (data sensitivity, business criticality, system access, regulatory scope, fourth-party reliance) produces a Critical, High, Medium, or Low tier that right-sizes assessment depth, required reviewers, and reassessment cadence; low-tier vendors skip the heavier stages automatically, and approval gates are never skipped.</w:t>
      </w:r>
    </w:p>
    <w:p w14:paraId="1368D29A">
      <w:pPr>
        <w:pStyle w:val="16"/>
        <w:numPr>
          <w:ilvl w:val="0"/>
          <w:numId w:val="1"/>
        </w:numPr>
      </w:pPr>
      <w:r>
        <w:t>Questionnaires from framework-aligned templates (for example SIG Lite and SIG Core, CAIQ, ISO 27001 Annex A, privacy and DPA), with tier-suggested bundles, a self-service link so the vendor answers and uploads evidence directly, and SLA tracking on issued questionnaires.</w:t>
      </w:r>
    </w:p>
    <w:p w14:paraId="0A7F6DFA">
      <w:pPr>
        <w:pStyle w:val="16"/>
        <w:numPr>
          <w:ilvl w:val="0"/>
          <w:numId w:val="1"/>
        </w:numPr>
      </w:pPr>
      <w:r>
        <w:t>Risk analysis and scoring: a residual score derived from the inherent tier and the vendor's control answers, with a per-domain breakdown and an at-a-glance grade, where a failed critical control always raises a blocking finding regardless of the headline score.</w:t>
      </w:r>
    </w:p>
    <w:p w14:paraId="6836954B">
      <w:pPr>
        <w:pStyle w:val="16"/>
        <w:numPr>
          <w:ilvl w:val="0"/>
          <w:numId w:val="1"/>
        </w:numPr>
      </w:pPr>
      <w:r>
        <w:t>Findings and remediation with per-severity SLAs and overdue flags; approval decisions recorded as approve, approve with conditions, defer, or reject, with segregation of duties and tracked conditions; findings can be promoted into the risk register.</w:t>
      </w:r>
    </w:p>
    <w:p w14:paraId="1D71BB33">
      <w:pPr>
        <w:pStyle w:val="16"/>
        <w:numPr>
          <w:ilvl w:val="0"/>
          <w:numId w:val="1"/>
        </w:numPr>
      </w:pPr>
      <w:r>
        <w:t>In-life management: monitoring signals (breach, security rating, financial, certificate expiry), a reassessment cadence set by tier, structured offboarding covering access revocation and data-return attestation, and a portfolio dashboard showing posture, a findings register, and the highest residual-risk vendors.</w:t>
      </w:r>
    </w:p>
    <w:p w14:paraId="18C4F947">
      <w:pPr>
        <w:pStyle w:val="3"/>
      </w:pPr>
      <w:r>
        <w:rPr>
          <w:b w:val="0"/>
        </w:rPr>
        <w:t>Deliverable 1.3: Asset management, vulnerability management, and the 360-degree linkage</w:t>
      </w:r>
    </w:p>
    <w:p w14:paraId="717F4DD8">
      <w:r>
        <w:rPr>
          <w:b/>
        </w:rPr>
        <w:t>Asset management</w:t>
      </w:r>
    </w:p>
    <w:p w14:paraId="17CBE9A6">
      <w:pPr>
        <w:pStyle w:val="16"/>
        <w:numPr>
          <w:ilvl w:val="0"/>
          <w:numId w:val="1"/>
        </w:numPr>
      </w:pPr>
      <w:r>
        <w:t>An asset inventory capturing identity (name, description, type such as application, infrastructure, data, cloud, or third-party, host or FQDN, IP, vendor, location), data and classification (data classification, regulated data type, compliance scope), and exposure metadata (internet-facing, network segment, business function, customer-facing).</w:t>
      </w:r>
    </w:p>
    <w:p w14:paraId="28BC8C3E">
      <w:pPr>
        <w:pStyle w:val="16"/>
        <w:numPr>
          <w:ilvl w:val="0"/>
          <w:numId w:val="1"/>
        </w:numPr>
      </w:pPr>
      <w:r>
        <w:t>A full ownership chain (primary owner, secondary owner, business owner, custodian, owning team, escalation contact) and business context (valuation, business-impact notes, operational-dependency rating).</w:t>
      </w:r>
    </w:p>
    <w:p w14:paraId="2399E67E">
      <w:pPr>
        <w:pStyle w:val="16"/>
        <w:numPr>
          <w:ilvl w:val="0"/>
          <w:numId w:val="1"/>
        </w:numPr>
      </w:pPr>
      <w:r>
        <w:t>Manual entry plus CSV and Excel import from a downloadable template covering identity, classification, all three CIA ratings, exposure, ownership, and lifecycle.</w:t>
      </w:r>
    </w:p>
    <w:p w14:paraId="68825187">
      <w:pPr>
        <w:pStyle w:val="16"/>
        <w:numPr>
          <w:ilvl w:val="0"/>
          <w:numId w:val="1"/>
        </w:numPr>
      </w:pPr>
      <w:r>
        <w:t>Criticality assessment: confidentiality, integrity, and availability each rated, producing a numeric criticality score and a derived tier of Critical, High, Medium, or Low, with adjustments for internet exposure and data sensitivity, and a manual override recorded alongside the computed score.</w:t>
      </w:r>
    </w:p>
    <w:p w14:paraId="203227D9">
      <w:pPr>
        <w:pStyle w:val="16"/>
        <w:numPr>
          <w:ilvl w:val="0"/>
          <w:numId w:val="1"/>
        </w:numPr>
      </w:pPr>
      <w:r>
        <w:t>Lifecycle states of planned, active, in maintenance, decommissioned, and retired, with enforced transitions and timestamps; decommissioning auto-closes the asset's open vulnerabilities and records the replacement asset.</w:t>
      </w:r>
    </w:p>
    <w:p w14:paraId="76C0C873">
      <w:pPr>
        <w:pStyle w:val="16"/>
        <w:numPr>
          <w:ilvl w:val="0"/>
          <w:numId w:val="1"/>
        </w:numPr>
      </w:pPr>
      <w:r>
        <w:t>An inventory-hygiene score (owner assigned, type set, criticality set, classification set, CIA rated) with stale-asset detection.</w:t>
      </w:r>
    </w:p>
    <w:p w14:paraId="128ABC46">
      <w:r>
        <w:rPr>
          <w:b/>
        </w:rPr>
        <w:t>Vulnerability management</w:t>
      </w:r>
    </w:p>
    <w:p w14:paraId="30BCAEBD">
      <w:pPr>
        <w:pStyle w:val="16"/>
        <w:numPr>
          <w:ilvl w:val="0"/>
          <w:numId w:val="1"/>
        </w:numPr>
      </w:pPr>
      <w:r>
        <w:t>A vulnerability record capturing identity and severity, scoring (CVSS score and vector, CVE, CWE), location (component, host, port, URL), analyst content (evidence, reproduction steps, recommendation, resolution notes), and a status flow of open, in progress, resolved, accepted, or false positive.</w:t>
      </w:r>
    </w:p>
    <w:p w14:paraId="4F991218">
      <w:pPr>
        <w:pStyle w:val="16"/>
        <w:numPr>
          <w:ilvl w:val="0"/>
          <w:numId w:val="1"/>
        </w:numPr>
      </w:pPr>
      <w:r>
        <w:t>Ingest by manual entry and by uploading scan or test reports (Excel, CSV, PDF, XML) with AI-assisted parsing into structured findings; live scanner connectors (for example Tenable Nessus, Rapid7 Nexpose, Qualys) are added in Phase 3.</w:t>
      </w:r>
    </w:p>
    <w:p w14:paraId="0D5FB209">
      <w:pPr>
        <w:pStyle w:val="16"/>
        <w:numPr>
          <w:ilvl w:val="0"/>
          <w:numId w:val="1"/>
        </w:numPr>
      </w:pPr>
      <w:r>
        <w:t>Automated enrichment per finding: EPSS exploit probability, the CISA Known Exploited Vulnerabilities flag, public-exploit indicators, and vendor patch intelligence.</w:t>
      </w:r>
    </w:p>
    <w:p w14:paraId="4CD4435A">
      <w:pPr>
        <w:pStyle w:val="16"/>
        <w:numPr>
          <w:ilvl w:val="0"/>
          <w:numId w:val="1"/>
        </w:numPr>
      </w:pPr>
      <w:r>
        <w:t>Risk-based prioritisation using a composite of severity, exploitability, and the linked asset's criticality rather than CVSS alone, sorted into priority buckets.</w:t>
      </w:r>
    </w:p>
    <w:p w14:paraId="61AD271F">
      <w:pPr>
        <w:pStyle w:val="16"/>
        <w:numPr>
          <w:ilvl w:val="0"/>
          <w:numId w:val="1"/>
        </w:numPr>
      </w:pPr>
      <w:r>
        <w:t>Per-severity remediation SLAs with escalation, a retest and formal-verification step before closure, and an exception and risk-acceptance workflow with compensating controls and a mandatory expiry.</w:t>
      </w:r>
    </w:p>
    <w:p w14:paraId="44486062">
      <w:pPr>
        <w:pStyle w:val="16"/>
        <w:numPr>
          <w:ilvl w:val="0"/>
          <w:numId w:val="1"/>
        </w:numPr>
      </w:pPr>
      <w:r>
        <w:t>Dashboards for priority distribution, KEV spotlight, SLA posture, and remediation throughput.</w:t>
      </w:r>
    </w:p>
    <w:p w14:paraId="797BC009">
      <w:r>
        <w:rPr>
          <w:b/>
        </w:rPr>
        <w:t>The 360-degree linkage</w:t>
      </w:r>
    </w:p>
    <w:p w14:paraId="25FCEBE5">
      <w:pPr>
        <w:pStyle w:val="16"/>
        <w:numPr>
          <w:ilvl w:val="0"/>
          <w:numId w:val="1"/>
        </w:numPr>
      </w:pPr>
      <w:r>
        <w:t>One connected data model ties the whole platform together and lets impact be traced in every direction.</w:t>
      </w:r>
    </w:p>
    <w:p w14:paraId="32DBDC03">
      <w:pPr>
        <w:pStyle w:val="16"/>
        <w:numPr>
          <w:ilvl w:val="0"/>
          <w:numId w:val="1"/>
        </w:numPr>
      </w:pPr>
      <w:r>
        <w:t>Vulnerabilities link to assets and inherit their criticality; assets link to risks, controls, documents, evidence, and vulnerabilities; risks link to the controls that mitigate them; and policies link to the controls, risks, and assets they cover.</w:t>
      </w:r>
    </w:p>
    <w:p w14:paraId="572C4EA0">
      <w:pPr>
        <w:pStyle w:val="16"/>
        <w:numPr>
          <w:ilvl w:val="0"/>
          <w:numId w:val="1"/>
        </w:numPr>
      </w:pPr>
      <w:r>
        <w:t>From any object the user can trace both ways, for example from a control to the risks it mitigates, the policies that document it, the evidence that proves it, and the assets and vulnerabilities in its scope.</w:t>
      </w:r>
    </w:p>
    <w:p w14:paraId="730480EC">
      <w:pPr>
        <w:pStyle w:val="3"/>
      </w:pPr>
      <w:r>
        <w:rPr>
          <w:b w:val="0"/>
        </w:rPr>
        <w:t>Phase 1 exit criteria (verifiable)</w:t>
      </w:r>
    </w:p>
    <w:p w14:paraId="03B5C39E">
      <w:pPr>
        <w:pStyle w:val="16"/>
        <w:numPr>
          <w:ilvl w:val="0"/>
          <w:numId w:val="1"/>
        </w:numPr>
      </w:pPr>
      <w:r>
        <w:t>A new workspace is created; users are invited into groups and roles; the SOC 2 control library is populated with Types and Sub-types; manual evidence is uploaded and mapped; and the readiness dashboard reflects it live.</w:t>
      </w:r>
    </w:p>
    <w:p w14:paraId="5BDA05B4">
      <w:pPr>
        <w:pStyle w:val="16"/>
        <w:numPr>
          <w:ilvl w:val="0"/>
          <w:numId w:val="1"/>
        </w:numPr>
      </w:pPr>
      <w:r>
        <w:t>A user in one workspace cannot read or write another workspace's data, shown by an automated isolation test.</w:t>
      </w:r>
    </w:p>
    <w:p w14:paraId="22D95137">
      <w:pPr>
        <w:pStyle w:val="16"/>
        <w:numPr>
          <w:ilvl w:val="0"/>
          <w:numId w:val="1"/>
        </w:numPr>
      </w:pPr>
      <w:r>
        <w:t>A task, a policy, a risk, a vendor, an asset, and a vulnerability are each taken end to end; the 360-degree linkage is demonstrated by tracing a vulnerability to its asset, the asset to a risk, the risk to a control, and the control to a policy, with every step in the audit trail.</w:t>
      </w:r>
    </w:p>
    <w:p w14:paraId="768618BC">
      <w:pPr>
        <w:pStyle w:val="16"/>
        <w:numPr>
          <w:ilvl w:val="0"/>
          <w:numId w:val="1"/>
        </w:numPr>
      </w:pPr>
      <w:r>
        <w:t>The platform is deployed from documented steps, with versioned migrations and a demonstrated backup and restore.</w:t>
      </w:r>
    </w:p>
    <w:p w14:paraId="6252808E">
      <w:pPr>
        <w:pStyle w:val="2"/>
      </w:pPr>
      <w:r>
        <w:rPr>
          <w:b w:val="0"/>
        </w:rPr>
        <w:t>6. Phase 2: Connectors, monitoring, and automation (2 deliverables)</w:t>
      </w:r>
    </w:p>
    <w:p w14:paraId="5C72A2B7">
      <w:r>
        <w:rPr>
          <w:b w:val="0"/>
        </w:rPr>
        <w:t>Outcome. The platform starts collecting its own evidence. Connectors pull configuration from the organisation's systems and mark controls pass or fail against named resources; monitoring runs continuously on a schedule, which is the core of a Type II program; findings and alerts are raised on failure; approvals become formal workflows; and AI accelerates document drafting under human control.</w:t>
      </w:r>
    </w:p>
    <w:p w14:paraId="4B6AD382">
      <w:pPr>
        <w:pStyle w:val="3"/>
      </w:pPr>
      <w:r>
        <w:rPr>
          <w:b w:val="0"/>
        </w:rPr>
        <w:t>Deliverable 2.1: Connector framework and the first fifteen connectors</w:t>
      </w:r>
    </w:p>
    <w:p w14:paraId="245AB764">
      <w:pPr>
        <w:pStyle w:val="16"/>
        <w:numPr>
          <w:ilvl w:val="0"/>
          <w:numId w:val="1"/>
        </w:numPr>
      </w:pPr>
      <w:r>
        <w:t>A shared connector framework: least-privilege, read-only credentials, encrypted at rest and never written to logs; consistent authentication, paging, rate limiting, and error handling; and a health view per connection showing the last successful sync, error streaks, and credential expiry.</w:t>
      </w:r>
    </w:p>
    <w:p w14:paraId="7821B81F">
      <w:pPr>
        <w:pStyle w:val="16"/>
        <w:numPr>
          <w:ilvl w:val="0"/>
          <w:numId w:val="1"/>
        </w:numPr>
      </w:pPr>
      <w:r>
        <w:t>Fifteen connectors are delivered in this phase, with Amazon Web Services as the core cloud. The remaining connectors from the catalogue in Section 8 are delivered in Phase 3.</w:t>
      </w:r>
    </w:p>
    <w:p w14:paraId="258498CB">
      <w:pPr>
        <w:pStyle w:val="16"/>
        <w:numPr>
          <w:ilvl w:val="0"/>
          <w:numId w:val="1"/>
        </w:numPr>
      </w:pPr>
      <w:r>
        <w:t>The fifteen: Amazon Web Services (core cloud), GitHub, GitLab, Bitbucket, Okta, Google Workspace, Microsoft 365 and Entra ID, 1Password, Jira, Slack, PagerDuty, Datadog, Sentry, Cloudflare, and Tailscale.</w:t>
      </w:r>
    </w:p>
    <w:p w14:paraId="46F77636">
      <w:pPr>
        <w:pStyle w:val="16"/>
        <w:numPr>
          <w:ilvl w:val="0"/>
          <w:numId w:val="1"/>
        </w:numPr>
      </w:pPr>
      <w:r>
        <w:t>The AWS connector reads cloud configuration in depth: identity and MFA, storage exposure and encryption, database and volume encryption, network rules open to the public, key management, audit logging, and backups.</w:t>
      </w:r>
    </w:p>
    <w:p w14:paraId="1A11A475">
      <w:pPr>
        <w:pStyle w:val="16"/>
        <w:numPr>
          <w:ilvl w:val="0"/>
          <w:numId w:val="1"/>
        </w:numPr>
      </w:pPr>
      <w:r>
        <w:t>The source-control connectors read repository members and two-factor status, branch protection, pull-request approvals, and dependency and secret scanning; the identity connectors read users, group membership, and MFA enforcement; the others read the access and configuration evidence relevant to their systems.</w:t>
      </w:r>
    </w:p>
    <w:p w14:paraId="0ED1F472">
      <w:pPr>
        <w:pStyle w:val="16"/>
        <w:numPr>
          <w:ilvl w:val="0"/>
          <w:numId w:val="1"/>
        </w:numPr>
      </w:pPr>
      <w:r>
        <w:t>Every connector writes evidence automatically and attaches it to the controls it satisfies, marked pass or fail against the named resource, for example a specific bucket, repository, or account.</w:t>
      </w:r>
    </w:p>
    <w:p w14:paraId="726EF1E7">
      <w:pPr>
        <w:pStyle w:val="3"/>
      </w:pPr>
      <w:r>
        <w:rPr>
          <w:b w:val="0"/>
        </w:rPr>
        <w:t>Deliverable 2.2: Continuous monitoring, findings and alerting, approval workflows, and AI drafting</w:t>
      </w:r>
    </w:p>
    <w:p w14:paraId="063DBB7E">
      <w:r>
        <w:rPr>
          <w:b/>
        </w:rPr>
        <w:t>Automated checks and continuous monitoring</w:t>
      </w:r>
    </w:p>
    <w:p w14:paraId="6B5637FF">
      <w:pPr>
        <w:pStyle w:val="16"/>
        <w:numPr>
          <w:ilvl w:val="0"/>
          <w:numId w:val="1"/>
        </w:numPr>
      </w:pPr>
      <w:r>
        <w:t>Checks run on a defined schedule and whenever new evidence arrives, so evidence accumulates across the observation window, which is the core of a Type II program.</w:t>
      </w:r>
    </w:p>
    <w:p w14:paraId="1D738480">
      <w:pPr>
        <w:pStyle w:val="16"/>
        <w:numPr>
          <w:ilvl w:val="0"/>
          <w:numId w:val="1"/>
        </w:numPr>
      </w:pPr>
      <w:r>
        <w:t>Each check produces one of five states: pass, fail, error, not applicable, or stale; a collection failure is recorded as error, never fail, so a broken integration is not mistaken for a failed control; a failing check names the specific resource that failed; and each check keeps its result history.</w:t>
      </w:r>
    </w:p>
    <w:p w14:paraId="0DA840B8">
      <w:pPr>
        <w:pStyle w:val="16"/>
        <w:numPr>
          <w:ilvl w:val="0"/>
          <w:numId w:val="1"/>
        </w:numPr>
      </w:pPr>
      <w:r>
        <w:t>Time-boxed, justified waivers with required sign-off, where a waiver expires on its set date and the finding reopens.</w:t>
      </w:r>
    </w:p>
    <w:p w14:paraId="78016C0B">
      <w:r>
        <w:rPr>
          <w:b/>
        </w:rPr>
        <w:t>Findings, alerting, and remediation</w:t>
      </w:r>
    </w:p>
    <w:p w14:paraId="28EDE027">
      <w:pPr>
        <w:pStyle w:val="16"/>
        <w:numPr>
          <w:ilvl w:val="0"/>
          <w:numId w:val="1"/>
        </w:numPr>
      </w:pPr>
      <w:r>
        <w:t>Each failing check raises a finding that moves through open, acknowledged, snoozed, and resolved, and resolves automatically when the underlying check next passes.</w:t>
      </w:r>
    </w:p>
    <w:p w14:paraId="09BADFA9">
      <w:pPr>
        <w:pStyle w:val="16"/>
        <w:numPr>
          <w:ilvl w:val="0"/>
          <w:numId w:val="1"/>
        </w:numPr>
      </w:pPr>
      <w:r>
        <w:t>Alerts to Slack and email fire only on a state change, that is a new failure or a recovery; ongoing failures are summarised in a periodic digest; and a separate stream reports expired credentials, failed syncs, and stale evidence.</w:t>
      </w:r>
    </w:p>
    <w:p w14:paraId="2EB04124">
      <w:pPr>
        <w:pStyle w:val="16"/>
        <w:numPr>
          <w:ilvl w:val="0"/>
          <w:numId w:val="1"/>
        </w:numPr>
      </w:pPr>
      <w:r>
        <w:t>Every check ships with written remediation guidance.</w:t>
      </w:r>
    </w:p>
    <w:p w14:paraId="72DF8E22">
      <w:r>
        <w:rPr>
          <w:b/>
        </w:rPr>
        <w:t>Approval workflows</w:t>
      </w:r>
    </w:p>
    <w:p w14:paraId="21CDF77D">
      <w:pPr>
        <w:pStyle w:val="16"/>
        <w:numPr>
          <w:ilvl w:val="0"/>
          <w:numId w:val="1"/>
        </w:numPr>
      </w:pPr>
      <w:r>
        <w:t>A reviewer approves or rejects submitted evidence, with the reviewer and time recorded; documents, controls, and risk acceptances can require named sign-off before they take effect; every approval decision is written to the immutable trail.</w:t>
      </w:r>
    </w:p>
    <w:p w14:paraId="5CBBFBA7">
      <w:r>
        <w:rPr>
          <w:b/>
        </w:rPr>
        <w:t>AI-assisted document drafting</w:t>
      </w:r>
    </w:p>
    <w:p w14:paraId="46E8E882">
      <w:pPr>
        <w:pStyle w:val="16"/>
        <w:numPr>
          <w:ilvl w:val="0"/>
          <w:numId w:val="1"/>
        </w:numPr>
      </w:pPr>
      <w:r>
        <w:t>The AI takes the organisation's profile (name, systems, scope) and the Phase 1 template library, and produces first drafts of policies, procedures, guidelines, and standards tailored to SOC 2.</w:t>
      </w:r>
    </w:p>
    <w:p w14:paraId="367F56FD">
      <w:pPr>
        <w:pStyle w:val="16"/>
        <w:numPr>
          <w:ilvl w:val="0"/>
          <w:numId w:val="1"/>
        </w:numPr>
      </w:pPr>
      <w:r>
        <w:t>A person reviews and edits every draft; nothing is published without human approval; and the AI makes no compliance decisions on its own.</w:t>
      </w:r>
    </w:p>
    <w:p w14:paraId="44BE3DAE">
      <w:r>
        <w:rPr>
          <w:b/>
        </w:rPr>
        <w:t>Jira and Slack sync</w:t>
      </w:r>
    </w:p>
    <w:p w14:paraId="089483BF">
      <w:pPr>
        <w:pStyle w:val="16"/>
        <w:numPr>
          <w:ilvl w:val="0"/>
          <w:numId w:val="1"/>
        </w:numPr>
      </w:pPr>
      <w:r>
        <w:t>The Jira connector provides two-way task synchronisation for organisations that run their tracking in Jira, honouring the loose coupling designed in Phase 1; the Slack connector delivers alerts and notifications.</w:t>
      </w:r>
    </w:p>
    <w:p w14:paraId="573AAA25">
      <w:pPr>
        <w:pStyle w:val="3"/>
      </w:pPr>
      <w:r>
        <w:rPr>
          <w:b w:val="0"/>
        </w:rPr>
        <w:t>Phase 2 exit criteria (verifiable)</w:t>
      </w:r>
    </w:p>
    <w:p w14:paraId="2E0C60D9">
      <w:pPr>
        <w:pStyle w:val="16"/>
        <w:numPr>
          <w:ilvl w:val="0"/>
          <w:numId w:val="1"/>
        </w:numPr>
      </w:pPr>
      <w:r>
        <w:t>A workspace connects AWS and GitHub or GitLab and reaches a populated posture view, with controls showing pass or fail from real collected evidence.</w:t>
      </w:r>
    </w:p>
    <w:p w14:paraId="21D00079">
      <w:pPr>
        <w:pStyle w:val="16"/>
        <w:numPr>
          <w:ilvl w:val="0"/>
          <w:numId w:val="1"/>
        </w:numPr>
      </w:pPr>
      <w:r>
        <w:t>Monitoring runs continuously; a control moved to failing raises a Slack and email alert, opens a finding, and resolves automatically when it passes again.</w:t>
      </w:r>
    </w:p>
    <w:p w14:paraId="0C2BB1FF">
      <w:pPr>
        <w:pStyle w:val="16"/>
        <w:numPr>
          <w:ilvl w:val="0"/>
          <w:numId w:val="1"/>
        </w:numPr>
      </w:pPr>
      <w:r>
        <w:t>An evidence item and a document are each taken through named approval; the AI drafts a policy, a procedure, a guideline, and a standard, each taken through review, approval, and staff acknowledgement, with completion exportable as evidence.</w:t>
      </w:r>
    </w:p>
    <w:p w14:paraId="518119AB">
      <w:pPr>
        <w:pStyle w:val="2"/>
      </w:pPr>
      <w:r>
        <w:rPr>
          <w:b w:val="0"/>
        </w:rPr>
        <w:t>7. Phase 3: Enterprise risk management and remaining connectors (2 deliverables)</w:t>
      </w:r>
    </w:p>
    <w:p w14:paraId="7B4F53A8">
      <w:r>
        <w:rPr>
          <w:b w:val="0"/>
        </w:rPr>
        <w:t>Outcome. The platform grows into a full enterprise GRC engineering platform: enterprise risk management on top of the Phase 1 risk register, the rest of the connector catalogue, live scanning and hardening, and enterprise access.</w:t>
      </w:r>
    </w:p>
    <w:p w14:paraId="25C4ACCF">
      <w:pPr>
        <w:pStyle w:val="3"/>
      </w:pPr>
      <w:r>
        <w:rPr>
          <w:b w:val="0"/>
        </w:rPr>
        <w:t>Deliverable 3.1: Enterprise risk management (ERM) and additional frameworks</w:t>
      </w:r>
    </w:p>
    <w:p w14:paraId="5FF93872">
      <w:r>
        <w:rPr>
          <w:b/>
        </w:rPr>
        <w:t>Enterprise risk management</w:t>
      </w:r>
    </w:p>
    <w:p w14:paraId="43A9589C">
      <w:pPr>
        <w:pStyle w:val="16"/>
        <w:numPr>
          <w:ilvl w:val="0"/>
          <w:numId w:val="1"/>
        </w:numPr>
      </w:pPr>
      <w:r>
        <w:t>Risk and Control Self-Assessment (RCSA): scheduled campaigns where control and risk owners assess the design and operating effectiveness of their controls and the related risks, with results rolling up into the risk register.</w:t>
      </w:r>
    </w:p>
    <w:p w14:paraId="0D865CF5">
      <w:pPr>
        <w:pStyle w:val="16"/>
        <w:numPr>
          <w:ilvl w:val="0"/>
          <w:numId w:val="1"/>
        </w:numPr>
      </w:pPr>
      <w:r>
        <w:t>Risk assessments: structured assessment workflows that scope, identify, analyse, evaluate, and treat risks, with owners, evidence, and sign-off.</w:t>
      </w:r>
    </w:p>
    <w:p w14:paraId="1902255D">
      <w:pPr>
        <w:pStyle w:val="16"/>
        <w:numPr>
          <w:ilvl w:val="0"/>
          <w:numId w:val="1"/>
        </w:numPr>
      </w:pPr>
      <w:r>
        <w:t>Framework assessments: assess the organisation against a chosen framework and produce a gap and maturity result that feeds the roadmap.</w:t>
      </w:r>
    </w:p>
    <w:p w14:paraId="22FFA4A5">
      <w:pPr>
        <w:pStyle w:val="16"/>
        <w:numPr>
          <w:ilvl w:val="0"/>
          <w:numId w:val="1"/>
        </w:numPr>
      </w:pPr>
      <w:r>
        <w:t>Incident management: log incidents with severity and timeline, link them to the risks and assets involved, and track post-incident mitigations to closure.</w:t>
      </w:r>
    </w:p>
    <w:p w14:paraId="2C7A750A">
      <w:pPr>
        <w:pStyle w:val="16"/>
        <w:numPr>
          <w:ilvl w:val="0"/>
          <w:numId w:val="1"/>
        </w:numPr>
      </w:pPr>
      <w:r>
        <w:t>Key Risk Indicators (KRIs): define indicators with thresholds, trend them over time, and raise an alert when a threshold is breached.</w:t>
      </w:r>
    </w:p>
    <w:p w14:paraId="67D40C36">
      <w:pPr>
        <w:pStyle w:val="16"/>
        <w:numPr>
          <w:ilvl w:val="0"/>
          <w:numId w:val="1"/>
        </w:numPr>
      </w:pPr>
      <w:r>
        <w:t>Organisation risk appetite: define appetite and tolerance thresholds per risk category and highlight any risk that exceeds appetite.</w:t>
      </w:r>
    </w:p>
    <w:p w14:paraId="64A8A4C7">
      <w:pPr>
        <w:pStyle w:val="16"/>
        <w:numPr>
          <w:ilvl w:val="0"/>
          <w:numId w:val="1"/>
        </w:numPr>
      </w:pPr>
      <w:r>
        <w:t>AI-powered risk mitigation: the AI proposes treatment and mitigation actions for a given risk, which a person reviews, assigns, and tracks to closure.</w:t>
      </w:r>
    </w:p>
    <w:p w14:paraId="6592BE2C">
      <w:pPr>
        <w:pStyle w:val="16"/>
        <w:numPr>
          <w:ilvl w:val="0"/>
          <w:numId w:val="1"/>
        </w:numPr>
      </w:pPr>
      <w:r>
        <w:t>Configurable workflows across the ERM module, so the organisation models its own review, approval, and escalation steps.</w:t>
      </w:r>
    </w:p>
    <w:p w14:paraId="152B8F74">
      <w:r>
        <w:rPr>
          <w:b/>
        </w:rPr>
        <w:t>Additional frameworks</w:t>
      </w:r>
    </w:p>
    <w:p w14:paraId="510182F8">
      <w:pPr>
        <w:pStyle w:val="16"/>
        <w:numPr>
          <w:ilvl w:val="0"/>
          <w:numId w:val="1"/>
        </w:numPr>
      </w:pPr>
      <w:r>
        <w:t>ISO 27001, HIPAA, and GDPR added as content on the same control engine, with cross-mapping so evidence collected once satisfies every framework it applies to.</w:t>
      </w:r>
    </w:p>
    <w:p w14:paraId="1A792ACC">
      <w:pPr>
        <w:pStyle w:val="3"/>
      </w:pPr>
      <w:r>
        <w:rPr>
          <w:b w:val="0"/>
        </w:rPr>
        <w:t>Deliverable 3.2: Remaining connectors, live scanning and hardening, and enterprise access</w:t>
      </w:r>
    </w:p>
    <w:p w14:paraId="0560CA16">
      <w:pPr>
        <w:pStyle w:val="16"/>
        <w:numPr>
          <w:ilvl w:val="0"/>
          <w:numId w:val="1"/>
        </w:numPr>
      </w:pPr>
      <w:r>
        <w:t>The remaining connectors from the catalogue in Section 8, including the other clouds (Azure and Google Cloud Platform), platform hosting, further identity, observability, ticketing, CMDB, communication, and on-premises and custom systems.</w:t>
      </w:r>
    </w:p>
    <w:p w14:paraId="718BD62A">
      <w:pPr>
        <w:pStyle w:val="16"/>
        <w:numPr>
          <w:ilvl w:val="0"/>
          <w:numId w:val="1"/>
        </w:numPr>
      </w:pPr>
      <w:r>
        <w:t>Live vulnerability scanner integrations (for example Tenable Nessus, Rapid7 Nexpose, Qualys) that pull findings directly into the Phase 1 vulnerability module and keep them enriched and prioritised on a schedule.</w:t>
      </w:r>
    </w:p>
    <w:p w14:paraId="4AD66B7C">
      <w:pPr>
        <w:pStyle w:val="16"/>
        <w:numPr>
          <w:ilvl w:val="0"/>
          <w:numId w:val="1"/>
        </w:numPr>
      </w:pPr>
      <w:r>
        <w:t>Scheduled CIS hardening benchmark checks against assets, recording pass or fail per benchmark item, with drift alerts to the owner.</w:t>
      </w:r>
    </w:p>
    <w:p w14:paraId="13CB7565">
      <w:pPr>
        <w:pStyle w:val="16"/>
        <w:numPr>
          <w:ilvl w:val="0"/>
          <w:numId w:val="1"/>
        </w:numPr>
      </w:pPr>
      <w:r>
        <w:t>Single sign-on with Azure AD and Entra ID and Google Workspace.</w:t>
      </w:r>
    </w:p>
    <w:p w14:paraId="2010380E">
      <w:pPr>
        <w:pStyle w:val="16"/>
        <w:numPr>
          <w:ilvl w:val="0"/>
          <w:numId w:val="1"/>
        </w:numPr>
      </w:pPr>
      <w:r>
        <w:t>Access reviews, in full: scheduled review campaigns that pull who has access from connected systems; a reviewer approves or revokes each entry with comments; revocations are tracked to completion; and the whole campaign exports as audit evidence.</w:t>
      </w:r>
    </w:p>
    <w:p w14:paraId="7A360FD3">
      <w:pPr>
        <w:pStyle w:val="16"/>
        <w:numPr>
          <w:ilvl w:val="0"/>
          <w:numId w:val="1"/>
        </w:numPr>
      </w:pPr>
      <w:r>
        <w:t>Read-only auditor access, scoped to a defined audit window, and organisation-specific integrations through the same connector framework, agreed case by case.</w:t>
      </w:r>
    </w:p>
    <w:p w14:paraId="5E6F75A1">
      <w:pPr>
        <w:pStyle w:val="2"/>
      </w:pPr>
      <w:r>
        <w:rPr>
          <w:b w:val="0"/>
        </w:rPr>
        <w:t>8. Connector catalogue</w:t>
      </w:r>
    </w:p>
    <w:p w14:paraId="3AFCFD32">
      <w:r>
        <w:rPr>
          <w:b w:val="0"/>
        </w:rPr>
        <w:t>The platform connects to the systems below. Each connects with a least-privilege, read-only token and maps the evidence it pulls to the relevant controls. Phase 2 delivers the first fifteen; the remainder are delivered in Phase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3"/>
        <w:gridCol w:w="4985"/>
        <w:gridCol w:w="1832"/>
      </w:tblGrid>
      <w:tr w14:paraId="46F8B1B8">
        <w:tblPrEx>
          <w:tblCellMar>
            <w:top w:w="0" w:type="dxa"/>
            <w:left w:w="10" w:type="dxa"/>
            <w:bottom w:w="0" w:type="dxa"/>
            <w:right w:w="10" w:type="dxa"/>
          </w:tblCellMar>
        </w:tblPrEx>
        <w:tc>
          <w:tcPr>
            <w:tcW w:w="2500" w:type="dxa"/>
          </w:tcPr>
          <w:p w14:paraId="7F87D0A6">
            <w:r>
              <w:rPr>
                <w:b/>
              </w:rPr>
              <w:t>Category</w:t>
            </w:r>
          </w:p>
        </w:tc>
        <w:tc>
          <w:tcPr>
            <w:tcW w:w="4900" w:type="dxa"/>
          </w:tcPr>
          <w:p w14:paraId="68705BE0">
            <w:r>
              <w:rPr>
                <w:b/>
              </w:rPr>
              <w:t>Connectors</w:t>
            </w:r>
          </w:p>
        </w:tc>
        <w:tc>
          <w:tcPr>
            <w:tcW w:w="1800" w:type="dxa"/>
          </w:tcPr>
          <w:p w14:paraId="27246B0F">
            <w:r>
              <w:rPr>
                <w:b/>
              </w:rPr>
              <w:t>Delivered</w:t>
            </w:r>
          </w:p>
        </w:tc>
      </w:tr>
      <w:tr w14:paraId="6118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611EAB61">
            <w:r>
              <w:rPr>
                <w:b w:val="0"/>
              </w:rPr>
              <w:t>Cloud infrastructure</w:t>
            </w:r>
          </w:p>
        </w:tc>
        <w:tc>
          <w:tcPr>
            <w:tcW w:w="4900" w:type="dxa"/>
          </w:tcPr>
          <w:p w14:paraId="69BABB42">
            <w:r>
              <w:rPr>
                <w:b w:val="0"/>
              </w:rPr>
              <w:t>Amazon Web Services (core), Microsoft Azure, Google Cloud Platform</w:t>
            </w:r>
          </w:p>
        </w:tc>
        <w:tc>
          <w:tcPr>
            <w:tcW w:w="1800" w:type="dxa"/>
          </w:tcPr>
          <w:p w14:paraId="1648F82C">
            <w:r>
              <w:rPr>
                <w:b w:val="0"/>
              </w:rPr>
              <w:t>AWS in Phase 2; Azure and GCP in Phase 3</w:t>
            </w:r>
          </w:p>
        </w:tc>
      </w:tr>
      <w:tr w14:paraId="4438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F6FDECE">
            <w:r>
              <w:rPr>
                <w:b w:val="0"/>
              </w:rPr>
              <w:t>Source control</w:t>
            </w:r>
          </w:p>
        </w:tc>
        <w:tc>
          <w:tcPr>
            <w:tcW w:w="4900" w:type="dxa"/>
          </w:tcPr>
          <w:p w14:paraId="3B4E4DE3">
            <w:r>
              <w:rPr>
                <w:b w:val="0"/>
              </w:rPr>
              <w:t>GitHub, GitLab, Bitbucket</w:t>
            </w:r>
          </w:p>
        </w:tc>
        <w:tc>
          <w:tcPr>
            <w:tcW w:w="1800" w:type="dxa"/>
          </w:tcPr>
          <w:p w14:paraId="2ABC0E09">
            <w:r>
              <w:rPr>
                <w:b w:val="0"/>
              </w:rPr>
              <w:t>Phase 2</w:t>
            </w:r>
          </w:p>
        </w:tc>
      </w:tr>
      <w:tr w14:paraId="1217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52F04C3C">
            <w:r>
              <w:rPr>
                <w:b w:val="0"/>
              </w:rPr>
              <w:t>Identity and directory</w:t>
            </w:r>
          </w:p>
        </w:tc>
        <w:tc>
          <w:tcPr>
            <w:tcW w:w="4900" w:type="dxa"/>
          </w:tcPr>
          <w:p w14:paraId="3612D47C">
            <w:r>
              <w:rPr>
                <w:b w:val="0"/>
              </w:rPr>
              <w:t>Okta, Google Workspace, Microsoft 365 and Entra ID, 1Password</w:t>
            </w:r>
          </w:p>
        </w:tc>
        <w:tc>
          <w:tcPr>
            <w:tcW w:w="1800" w:type="dxa"/>
          </w:tcPr>
          <w:p w14:paraId="57229FB2">
            <w:r>
              <w:rPr>
                <w:b w:val="0"/>
              </w:rPr>
              <w:t>Phase 2</w:t>
            </w:r>
          </w:p>
        </w:tc>
      </w:tr>
      <w:tr w14:paraId="28DD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5DC7B3D">
            <w:r>
              <w:rPr>
                <w:b w:val="0"/>
              </w:rPr>
              <w:t>Communication and on-call</w:t>
            </w:r>
          </w:p>
        </w:tc>
        <w:tc>
          <w:tcPr>
            <w:tcW w:w="4900" w:type="dxa"/>
          </w:tcPr>
          <w:p w14:paraId="7214067C">
            <w:r>
              <w:rPr>
                <w:b w:val="0"/>
              </w:rPr>
              <w:t>Slack, PagerDuty</w:t>
            </w:r>
          </w:p>
        </w:tc>
        <w:tc>
          <w:tcPr>
            <w:tcW w:w="1800" w:type="dxa"/>
          </w:tcPr>
          <w:p w14:paraId="4BDA8FB9">
            <w:r>
              <w:rPr>
                <w:b w:val="0"/>
              </w:rPr>
              <w:t>Phase 2</w:t>
            </w:r>
          </w:p>
        </w:tc>
      </w:tr>
      <w:tr w14:paraId="23DF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2410CFB8">
            <w:r>
              <w:rPr>
                <w:b w:val="0"/>
              </w:rPr>
              <w:t>Network and edge</w:t>
            </w:r>
          </w:p>
        </w:tc>
        <w:tc>
          <w:tcPr>
            <w:tcW w:w="4900" w:type="dxa"/>
          </w:tcPr>
          <w:p w14:paraId="07155B9D">
            <w:r>
              <w:rPr>
                <w:b w:val="0"/>
              </w:rPr>
              <w:t>Cloudflare, Tailscale</w:t>
            </w:r>
          </w:p>
        </w:tc>
        <w:tc>
          <w:tcPr>
            <w:tcW w:w="1800" w:type="dxa"/>
          </w:tcPr>
          <w:p w14:paraId="73DFDD2D">
            <w:r>
              <w:rPr>
                <w:b w:val="0"/>
              </w:rPr>
              <w:t>Phase 2</w:t>
            </w:r>
          </w:p>
        </w:tc>
      </w:tr>
      <w:tr w14:paraId="4D3B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141289B9">
            <w:r>
              <w:rPr>
                <w:b w:val="0"/>
              </w:rPr>
              <w:t>Observability and monitoring</w:t>
            </w:r>
          </w:p>
        </w:tc>
        <w:tc>
          <w:tcPr>
            <w:tcW w:w="4900" w:type="dxa"/>
          </w:tcPr>
          <w:p w14:paraId="6CB57FB6">
            <w:r>
              <w:rPr>
                <w:b w:val="0"/>
              </w:rPr>
              <w:t>Datadog, Sentry</w:t>
            </w:r>
          </w:p>
        </w:tc>
        <w:tc>
          <w:tcPr>
            <w:tcW w:w="1800" w:type="dxa"/>
          </w:tcPr>
          <w:p w14:paraId="40DCB2C6">
            <w:r>
              <w:rPr>
                <w:b w:val="0"/>
              </w:rPr>
              <w:t>Phase 2</w:t>
            </w:r>
          </w:p>
        </w:tc>
      </w:tr>
      <w:tr w14:paraId="28AD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97FAD88">
            <w:r>
              <w:rPr>
                <w:b w:val="0"/>
              </w:rPr>
              <w:t>Observability and monitoring</w:t>
            </w:r>
          </w:p>
        </w:tc>
        <w:tc>
          <w:tcPr>
            <w:tcW w:w="4900" w:type="dxa"/>
          </w:tcPr>
          <w:p w14:paraId="010B7215">
            <w:r>
              <w:rPr>
                <w:b w:val="0"/>
              </w:rPr>
              <w:t>Grafana, SigNoz, Better Stack</w:t>
            </w:r>
          </w:p>
        </w:tc>
        <w:tc>
          <w:tcPr>
            <w:tcW w:w="1800" w:type="dxa"/>
          </w:tcPr>
          <w:p w14:paraId="78585564">
            <w:r>
              <w:rPr>
                <w:b w:val="0"/>
              </w:rPr>
              <w:t>Phase 3</w:t>
            </w:r>
          </w:p>
        </w:tc>
      </w:tr>
      <w:tr w14:paraId="23F5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3CBA110">
            <w:r>
              <w:rPr>
                <w:b w:val="0"/>
              </w:rPr>
              <w:t>Productivity and ticketing</w:t>
            </w:r>
          </w:p>
        </w:tc>
        <w:tc>
          <w:tcPr>
            <w:tcW w:w="4900" w:type="dxa"/>
          </w:tcPr>
          <w:p w14:paraId="1D24A2EE">
            <w:r>
              <w:rPr>
                <w:b w:val="0"/>
              </w:rPr>
              <w:t>Jira</w:t>
            </w:r>
          </w:p>
        </w:tc>
        <w:tc>
          <w:tcPr>
            <w:tcW w:w="1800" w:type="dxa"/>
          </w:tcPr>
          <w:p w14:paraId="313139BE">
            <w:r>
              <w:rPr>
                <w:b w:val="0"/>
              </w:rPr>
              <w:t>Phase 2</w:t>
            </w:r>
          </w:p>
        </w:tc>
      </w:tr>
      <w:tr w14:paraId="7D18B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5EC3890C">
            <w:r>
              <w:rPr>
                <w:b w:val="0"/>
              </w:rPr>
              <w:t>Productivity and ticketing</w:t>
            </w:r>
          </w:p>
        </w:tc>
        <w:tc>
          <w:tcPr>
            <w:tcW w:w="4900" w:type="dxa"/>
          </w:tcPr>
          <w:p w14:paraId="2EEFF014">
            <w:r>
              <w:rPr>
                <w:b w:val="0"/>
              </w:rPr>
              <w:t>Linear, Asana, ClickUp, Monday, Notion</w:t>
            </w:r>
          </w:p>
        </w:tc>
        <w:tc>
          <w:tcPr>
            <w:tcW w:w="1800" w:type="dxa"/>
          </w:tcPr>
          <w:p w14:paraId="44B261C4">
            <w:r>
              <w:rPr>
                <w:b w:val="0"/>
              </w:rPr>
              <w:t>Phase 3</w:t>
            </w:r>
          </w:p>
        </w:tc>
      </w:tr>
      <w:tr w14:paraId="2E82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746E9B7">
            <w:r>
              <w:rPr>
                <w:b w:val="0"/>
              </w:rPr>
              <w:t>Cloud and platform hosting</w:t>
            </w:r>
          </w:p>
        </w:tc>
        <w:tc>
          <w:tcPr>
            <w:tcW w:w="4900" w:type="dxa"/>
          </w:tcPr>
          <w:p w14:paraId="51043B22">
            <w:r>
              <w:rPr>
                <w:b w:val="0"/>
              </w:rPr>
              <w:t>DigitalOcean, Heroku, Render, Vercel, Netlify, Supabase, Neon, Qovery</w:t>
            </w:r>
          </w:p>
        </w:tc>
        <w:tc>
          <w:tcPr>
            <w:tcW w:w="1800" w:type="dxa"/>
          </w:tcPr>
          <w:p w14:paraId="6D24C44A">
            <w:r>
              <w:rPr>
                <w:b w:val="0"/>
              </w:rPr>
              <w:t>Phase 3</w:t>
            </w:r>
          </w:p>
        </w:tc>
      </w:tr>
      <w:tr w14:paraId="6E8E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798618E">
            <w:r>
              <w:rPr>
                <w:b w:val="0"/>
              </w:rPr>
              <w:t>Vulnerability scanners</w:t>
            </w:r>
          </w:p>
        </w:tc>
        <w:tc>
          <w:tcPr>
            <w:tcW w:w="4900" w:type="dxa"/>
          </w:tcPr>
          <w:p w14:paraId="102CC709">
            <w:r>
              <w:rPr>
                <w:b w:val="0"/>
              </w:rPr>
              <w:t>Tenable Nessus, Rapid7 Nexpose, Qualys</w:t>
            </w:r>
          </w:p>
        </w:tc>
        <w:tc>
          <w:tcPr>
            <w:tcW w:w="1800" w:type="dxa"/>
          </w:tcPr>
          <w:p w14:paraId="246B3002">
            <w:r>
              <w:rPr>
                <w:b w:val="0"/>
              </w:rPr>
              <w:t>Phase 3</w:t>
            </w:r>
          </w:p>
        </w:tc>
      </w:tr>
      <w:tr w14:paraId="3F60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6C5F9860">
            <w:r>
              <w:rPr>
                <w:b w:val="0"/>
              </w:rPr>
              <w:t>Asset discovery and CMDB</w:t>
            </w:r>
          </w:p>
        </w:tc>
        <w:tc>
          <w:tcPr>
            <w:tcW w:w="4900" w:type="dxa"/>
          </w:tcPr>
          <w:p w14:paraId="5276ED41">
            <w:r>
              <w:rPr>
                <w:b w:val="0"/>
              </w:rPr>
              <w:t>BMC</w:t>
            </w:r>
          </w:p>
        </w:tc>
        <w:tc>
          <w:tcPr>
            <w:tcW w:w="1800" w:type="dxa"/>
          </w:tcPr>
          <w:p w14:paraId="0EB6BA26">
            <w:r>
              <w:rPr>
                <w:b w:val="0"/>
              </w:rPr>
              <w:t>Phase 3</w:t>
            </w:r>
          </w:p>
        </w:tc>
      </w:tr>
      <w:tr w14:paraId="6788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12605682">
            <w:r>
              <w:rPr>
                <w:b w:val="0"/>
              </w:rPr>
              <w:t>CRM and customer support</w:t>
            </w:r>
          </w:p>
        </w:tc>
        <w:tc>
          <w:tcPr>
            <w:tcW w:w="4900" w:type="dxa"/>
          </w:tcPr>
          <w:p w14:paraId="104A50E2">
            <w:r>
              <w:rPr>
                <w:b w:val="0"/>
              </w:rPr>
              <w:t>HubSpot, Intercom, Zendesk, PostHog</w:t>
            </w:r>
          </w:p>
        </w:tc>
        <w:tc>
          <w:tcPr>
            <w:tcW w:w="1800" w:type="dxa"/>
          </w:tcPr>
          <w:p w14:paraId="08A82D0A">
            <w:r>
              <w:rPr>
                <w:b w:val="0"/>
              </w:rPr>
              <w:t>Phase 3</w:t>
            </w:r>
          </w:p>
        </w:tc>
      </w:tr>
      <w:tr w14:paraId="2788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6391018A">
            <w:r>
              <w:rPr>
                <w:b w:val="0"/>
              </w:rPr>
              <w:t>Email delivery</w:t>
            </w:r>
          </w:p>
        </w:tc>
        <w:tc>
          <w:tcPr>
            <w:tcW w:w="4900" w:type="dxa"/>
          </w:tcPr>
          <w:p w14:paraId="61150D1C">
            <w:r>
              <w:rPr>
                <w:b w:val="0"/>
              </w:rPr>
              <w:t>SendGrid, Resend</w:t>
            </w:r>
          </w:p>
        </w:tc>
        <w:tc>
          <w:tcPr>
            <w:tcW w:w="1800" w:type="dxa"/>
          </w:tcPr>
          <w:p w14:paraId="6DCD64E2">
            <w:r>
              <w:rPr>
                <w:b w:val="0"/>
              </w:rPr>
              <w:t>Phase 3</w:t>
            </w:r>
          </w:p>
        </w:tc>
      </w:tr>
      <w:tr w14:paraId="4BA08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90252CB">
            <w:r>
              <w:rPr>
                <w:b w:val="0"/>
              </w:rPr>
              <w:t>AI providers</w:t>
            </w:r>
          </w:p>
        </w:tc>
        <w:tc>
          <w:tcPr>
            <w:tcW w:w="4900" w:type="dxa"/>
          </w:tcPr>
          <w:p w14:paraId="372C17DB">
            <w:r>
              <w:rPr>
                <w:b w:val="0"/>
              </w:rPr>
              <w:t>OpenAI, Anthropic</w:t>
            </w:r>
          </w:p>
        </w:tc>
        <w:tc>
          <w:tcPr>
            <w:tcW w:w="1800" w:type="dxa"/>
          </w:tcPr>
          <w:p w14:paraId="3DB7F37B">
            <w:r>
              <w:rPr>
                <w:b w:val="0"/>
              </w:rPr>
              <w:t>Phase 3</w:t>
            </w:r>
          </w:p>
        </w:tc>
      </w:tr>
      <w:tr w14:paraId="06B6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1A79113B">
            <w:r>
              <w:rPr>
                <w:b w:val="0"/>
              </w:rPr>
              <w:t>On-premises and custom</w:t>
            </w:r>
          </w:p>
        </w:tc>
        <w:tc>
          <w:tcPr>
            <w:tcW w:w="4900" w:type="dxa"/>
          </w:tcPr>
          <w:p w14:paraId="51114730">
            <w:r>
              <w:rPr>
                <w:b w:val="0"/>
              </w:rPr>
              <w:t>On-premises APIs, endpoint software, bespoke internal systems</w:t>
            </w:r>
          </w:p>
        </w:tc>
        <w:tc>
          <w:tcPr>
            <w:tcW w:w="1800" w:type="dxa"/>
          </w:tcPr>
          <w:p w14:paraId="60C9CFC2">
            <w:r>
              <w:rPr>
                <w:b w:val="0"/>
              </w:rPr>
              <w:t>Phase 3</w:t>
            </w:r>
          </w:p>
        </w:tc>
      </w:tr>
    </w:tbl>
    <w:p w14:paraId="7E16B68B"/>
    <w:p w14:paraId="5888EC8A">
      <w:pPr>
        <w:pStyle w:val="2"/>
      </w:pPr>
      <w:r>
        <w:rPr>
          <w:b w:val="0"/>
        </w:rPr>
        <w:t>9. Platform, security, and operations (all phases)</w:t>
      </w:r>
    </w:p>
    <w:p w14:paraId="11097840">
      <w:r>
        <w:rPr>
          <w:b/>
        </w:rPr>
        <w:t>Security</w:t>
      </w:r>
    </w:p>
    <w:p w14:paraId="76B8DF1B">
      <w:pPr>
        <w:pStyle w:val="16"/>
        <w:numPr>
          <w:ilvl w:val="0"/>
          <w:numId w:val="1"/>
        </w:numPr>
      </w:pPr>
      <w:r>
        <w:t>Role-based access control with least-privilege roles and granular per-module permissions; administrative accounts require multi-factor authentication.</w:t>
      </w:r>
    </w:p>
    <w:p w14:paraId="5ABA1645">
      <w:pPr>
        <w:pStyle w:val="16"/>
        <w:numPr>
          <w:ilvl w:val="0"/>
          <w:numId w:val="1"/>
        </w:numPr>
      </w:pPr>
      <w:r>
        <w:t>Connector credentials are encrypted at rest and never written to logs; the platform sets security headers, rate-limits requests, validates input, and returns errors without leaking internals; every state-changing action is written to the immutable audit trail.</w:t>
      </w:r>
    </w:p>
    <w:p w14:paraId="485D3010">
      <w:r>
        <w:rPr>
          <w:b/>
        </w:rPr>
        <w:t>Multi-tenancy and isolation</w:t>
      </w:r>
    </w:p>
    <w:p w14:paraId="7B2AA33E">
      <w:pPr>
        <w:pStyle w:val="16"/>
        <w:numPr>
          <w:ilvl w:val="0"/>
          <w:numId w:val="1"/>
        </w:numPr>
      </w:pPr>
      <w:r>
        <w:t>Multi-tenant from day one, with isolated workspaces so more than one organisation runs on a single deployment; per-workspace branding, white-label ready; cross-workspace isolation is proven by an automated test that runs on every change.</w:t>
      </w:r>
    </w:p>
    <w:p w14:paraId="44521F45">
      <w:r>
        <w:rPr>
          <w:b/>
        </w:rPr>
        <w:t>Deployment and operations</w:t>
      </w:r>
    </w:p>
    <w:p w14:paraId="3698DD97">
      <w:pPr>
        <w:pStyle w:val="16"/>
        <w:numPr>
          <w:ilvl w:val="0"/>
          <w:numId w:val="1"/>
        </w:numPr>
      </w:pPr>
      <w:r>
        <w:t>Containerised deployment with PostgreSQL, Redis, background workers, and a scheduler, brought up from documented steps; database changes applied through versioned migrations; a documented and demonstrated backup and restore; and health and metrics endpoints for monitoring.</w:t>
      </w:r>
    </w:p>
    <w:p w14:paraId="1496D7EA">
      <w:r>
        <w:rPr>
          <w:b/>
        </w:rPr>
        <w:t>Data handling</w:t>
      </w:r>
    </w:p>
    <w:p w14:paraId="5258475D">
      <w:pPr>
        <w:pStyle w:val="16"/>
        <w:numPr>
          <w:ilvl w:val="0"/>
          <w:numId w:val="1"/>
        </w:numPr>
      </w:pPr>
      <w:r>
        <w:t>Client data and evidence remain within the organisation's own deployment; evidence retention is configurable to at least the audit period plus one year, and a legal-hold flag exempts held items from deletion.</w:t>
      </w:r>
    </w:p>
    <w:p w14:paraId="749AA705">
      <w:pPr>
        <w:pStyle w:val="2"/>
      </w:pPr>
      <w:r>
        <w:rPr>
          <w:b w:val="0"/>
        </w:rPr>
        <w:t>10. Assumptions and dependencies</w:t>
      </w:r>
    </w:p>
    <w:p w14:paraId="4CF17AB2">
      <w:pPr>
        <w:pStyle w:val="16"/>
        <w:numPr>
          <w:ilvl w:val="0"/>
          <w:numId w:val="1"/>
        </w:numPr>
      </w:pPr>
      <w:r>
        <w:t>A kickoff workshop covers data modeling (with the organisation's other systems in view) and wireframe sign-off for the dashboards and key screens.</w:t>
      </w:r>
    </w:p>
    <w:p w14:paraId="2900C89A">
      <w:pPr>
        <w:pStyle w:val="16"/>
        <w:numPr>
          <w:ilvl w:val="0"/>
          <w:numId w:val="1"/>
        </w:numPr>
      </w:pPr>
      <w:r>
        <w:t>For Phase 2 and Phase 3, the organisation provides read-only credentials or roles for each system to be connected; a sandbox or test account per system is available for verification, or verification uses the live account with read-only access.</w:t>
      </w:r>
    </w:p>
    <w:p w14:paraId="56E0F3B7">
      <w:pPr>
        <w:pStyle w:val="16"/>
        <w:numPr>
          <w:ilvl w:val="0"/>
          <w:numId w:val="1"/>
        </w:numPr>
      </w:pPr>
      <w:r>
        <w:t>Where a provider requires app registration (for example Google or Microsoft single sign-on), the organisation supports the registration; some providers have external verification lead times.</w:t>
      </w:r>
    </w:p>
    <w:p w14:paraId="6FD6F68D">
      <w:pPr>
        <w:pStyle w:val="16"/>
        <w:numPr>
          <w:ilvl w:val="0"/>
          <w:numId w:val="1"/>
        </w:numPr>
      </w:pPr>
      <w:r>
        <w:t>The deployment target (managed PostgreSQL, Redis, and a host) is agreed and provisioned.</w:t>
      </w:r>
    </w:p>
    <w:p w14:paraId="14AB586E">
      <w:pPr>
        <w:pStyle w:val="16"/>
        <w:numPr>
          <w:ilvl w:val="0"/>
          <w:numId w:val="1"/>
        </w:numPr>
      </w:pPr>
      <w:r>
        <w:t>For audit-facing work, the audit firm and observation window are confirmed so evidence formats meet the auditor's expectations.</w:t>
      </w:r>
    </w:p>
    <w:p w14:paraId="1C47D8C2">
      <w:pPr>
        <w:pStyle w:val="2"/>
      </w:pPr>
      <w:r>
        <w:rPr>
          <w:b w:val="0"/>
        </w:rPr>
        <w:t>11. Out of scope</w:t>
      </w:r>
    </w:p>
    <w:p w14:paraId="5CBE6980">
      <w:r>
        <w:rPr>
          <w:b w:val="0"/>
        </w:rPr>
        <w:t>The following are not part of any phase in this document and are only picked up if separately requested and scoped: automated answering of inbound security questionnaires, built-in training courseware, an endpoint or device agent, SOC 1 and SOC 3 reporting, and packaging the platform as an on-premises appliance. Anything not listed in a phase above is treated the same way: scoped separately, and agreed before any work starts.</w:t>
      </w:r>
    </w:p>
    <w:p w14:paraId="2B3DFC23">
      <w:pPr>
        <w:pStyle w:val="2"/>
      </w:pPr>
      <w:r>
        <w:rPr>
          <w:b w:val="0"/>
        </w:rPr>
        <w:t>12. Acceptance and sign-off</w:t>
      </w:r>
    </w:p>
    <w:p w14:paraId="36247A37">
      <w:r>
        <w:rPr>
          <w:b w:val="0"/>
        </w:rPr>
        <w:t>Each deliverable is accepted when its exit criteria are demonstrated on the deployed platform. Any change beyond the accepted scope of a deliverable is handled as a separate work item, agreed before it is built.</w:t>
      </w:r>
    </w:p>
    <w:p w14:paraId="6993B6A5">
      <w:pPr>
        <w:pStyle w:val="2"/>
      </w:pPr>
      <w:bookmarkStart w:id="0" w:name="_GoBack"/>
      <w:r>
        <w:rPr>
          <w:b w:val="0"/>
        </w:rPr>
        <w:t>Appendix A: Glossary</w:t>
      </w:r>
    </w:p>
    <w:p w14:paraId="0B7C2025">
      <w:pPr>
        <w:pStyle w:val="16"/>
        <w:numPr>
          <w:ilvl w:val="0"/>
          <w:numId w:val="1"/>
        </w:numPr>
      </w:pPr>
      <w:r>
        <w:rPr>
          <w:b/>
        </w:rPr>
        <w:t xml:space="preserve">Criteria: </w:t>
      </w:r>
      <w:r>
        <w:t>the official SOC 2 requirements (the Trust Services Criteria). Security is mandatory; the other four categories are optional.</w:t>
      </w:r>
    </w:p>
    <w:p w14:paraId="664F0B2E">
      <w:pPr>
        <w:pStyle w:val="16"/>
        <w:numPr>
          <w:ilvl w:val="0"/>
          <w:numId w:val="1"/>
        </w:numPr>
      </w:pPr>
      <w:r>
        <w:rPr>
          <w:b/>
        </w:rPr>
        <w:t xml:space="preserve">Control: </w:t>
      </w:r>
      <w:r>
        <w:t>a specific measure the organisation implements to meet one or more criteria. The platform ships a full control library mapped to every criterion.</w:t>
      </w:r>
    </w:p>
    <w:p w14:paraId="083D8919">
      <w:pPr>
        <w:pStyle w:val="16"/>
        <w:numPr>
          <w:ilvl w:val="0"/>
          <w:numId w:val="1"/>
        </w:numPr>
      </w:pPr>
      <w:r>
        <w:rPr>
          <w:b/>
        </w:rPr>
        <w:t xml:space="preserve">Evidence: </w:t>
      </w:r>
      <w:r>
        <w:t>the proof that a control is being met: a setting read from a system, a document, a report.</w:t>
      </w:r>
    </w:p>
    <w:p w14:paraId="3D422CB4">
      <w:pPr>
        <w:pStyle w:val="16"/>
        <w:numPr>
          <w:ilvl w:val="0"/>
          <w:numId w:val="1"/>
        </w:numPr>
      </w:pPr>
      <w:r>
        <w:rPr>
          <w:b/>
        </w:rPr>
        <w:t xml:space="preserve">Connector: </w:t>
      </w:r>
      <w:r>
        <w:t>a read-only link to a system (AWS, GitHub, and so on) that pulls evidence automatically so nobody collects it by hand.</w:t>
      </w:r>
    </w:p>
    <w:p w14:paraId="4FF588D7">
      <w:pPr>
        <w:pStyle w:val="16"/>
        <w:numPr>
          <w:ilvl w:val="0"/>
          <w:numId w:val="1"/>
        </w:numPr>
      </w:pPr>
      <w:r>
        <w:rPr>
          <w:b/>
        </w:rPr>
        <w:t xml:space="preserve">Type I vs Type II: </w:t>
      </w:r>
      <w:r>
        <w:t>Type I means "compliant at a point in time"; Type II means "compliant continuously across a period," which is why continuous monitoring matters.</w:t>
      </w:r>
    </w:p>
    <w:p w14:paraId="40FF47BD">
      <w:pPr>
        <w:pStyle w:val="16"/>
        <w:numPr>
          <w:ilvl w:val="0"/>
          <w:numId w:val="1"/>
        </w:numPr>
      </w:pPr>
      <w:r>
        <w:rPr>
          <w:b/>
        </w:rPr>
        <w:t xml:space="preserve">RCSA: </w:t>
      </w:r>
      <w:r>
        <w:t>Risk and Control Self-Assessment: a periodic review in which owners assess how well their controls and risks are managed.</w:t>
      </w:r>
    </w:p>
    <w:p w14:paraId="593FC10C">
      <w:pPr>
        <w:pStyle w:val="16"/>
        <w:numPr>
          <w:ilvl w:val="0"/>
          <w:numId w:val="1"/>
        </w:numPr>
      </w:pPr>
      <w:r>
        <w:rPr>
          <w:b/>
        </w:rPr>
        <w:t xml:space="preserve">KRI: </w:t>
      </w:r>
      <w:r>
        <w:t>Key Risk Indicator: a metric with a threshold that warns when a risk is trending the wrong way.</w:t>
      </w:r>
    </w:p>
    <w:p w14:paraId="735F8C4D">
      <w:pPr>
        <w:pStyle w:val="16"/>
        <w:numPr>
          <w:ilvl w:val="0"/>
          <w:numId w:val="1"/>
        </w:numPr>
      </w:pPr>
      <w:r>
        <w:rPr>
          <w:b/>
        </w:rPr>
        <w:t xml:space="preserve">Risk appetite: </w:t>
      </w:r>
      <w:r>
        <w:t>the amount of risk the organisation is willing to accept, set per category, against which live risks are compared.</w:t>
      </w:r>
    </w:p>
    <w:p w14:paraId="4BB65D65">
      <w:pPr>
        <w:pStyle w:val="16"/>
        <w:numPr>
          <w:ilvl w:val="0"/>
          <w:numId w:val="1"/>
        </w:numPr>
      </w:pPr>
      <w:r>
        <w:rPr>
          <w:b/>
        </w:rPr>
        <w:t xml:space="preserve">Multi-tenant: </w:t>
      </w:r>
      <w:r>
        <w:t>one deployment hosting several isolated workspaces whose data never mixes.</w:t>
      </w:r>
    </w:p>
    <w:p w14:paraId="3DE904D2">
      <w:pPr>
        <w:pStyle w:val="16"/>
        <w:numPr>
          <w:ilvl w:val="0"/>
          <w:numId w:val="1"/>
        </w:numPr>
      </w:pPr>
      <w:r>
        <w:rPr>
          <w:b/>
        </w:rPr>
        <w:t xml:space="preserve">CVSS, EPSS, KEV: </w:t>
      </w:r>
      <w:r>
        <w:t>three signals about a vulnerability: its severity score, the probability it will actually be exploited, and whether it appears on the CISA known-exploited list.</w:t>
      </w:r>
    </w:p>
    <w:p w14:paraId="3EBADF0C">
      <w:pPr>
        <w:pStyle w:val="16"/>
        <w:numPr>
          <w:ilvl w:val="0"/>
          <w:numId w:val="1"/>
        </w:numPr>
      </w:pPr>
      <w:r>
        <w:rPr>
          <w:b/>
        </w:rPr>
        <w:t xml:space="preserve">CIS benchmarks: </w:t>
      </w:r>
      <w:r>
        <w:t>industry-standard hardening checklists for operating systems and services.</w:t>
      </w:r>
    </w:p>
    <w:bookmarkEnd w:id="0"/>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6BB21">
    <w:pPr>
      <w:jc w:val="center"/>
    </w:pPr>
    <w:r>
      <w:rPr>
        <w:color w:val="64748B"/>
        <w:sz w:val="18"/>
        <w:szCs w:val="18"/>
      </w:rPr>
      <w:t xml:space="preserve">Page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9FF64">
    <w:pPr>
      <w:pBdr>
        <w:bottom w:val="single" w:color="D5D8EC" w:sz="4" w:space="6"/>
      </w:pBdr>
      <w:tabs>
        <w:tab w:val="right" w:pos="9360"/>
      </w:tabs>
    </w:pPr>
    <w:r>
      <w:rPr>
        <w:b/>
        <w:bCs/>
        <w:color w:val="4338CA"/>
        <w:sz w:val="18"/>
        <w:szCs w:val="18"/>
      </w:rPr>
      <w:t>SOC 2 Compliance Platform</w:t>
    </w:r>
    <w:r>
      <w:rPr>
        <w:color w:val="64748B"/>
        <w:sz w:val="18"/>
        <w:szCs w:val="18"/>
      </w:rPr>
      <w:tab/>
    </w:r>
    <w:r>
      <w:rPr>
        <w:color w:val="64748B"/>
        <w:sz w:val="18"/>
        <w:szCs w:val="18"/>
      </w:rPr>
      <w:t>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460" w:hanging="260"/>
      </w:pPr>
      <w:rPr>
        <w:color w:val="4338CA"/>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3D8D16A7"/>
    <w:rsid w:val="616A32F6"/>
    <w:rsid w:val="796D74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2"/>
      <w:szCs w:val="22"/>
    </w:rPr>
  </w:style>
  <w:style w:type="paragraph" w:styleId="2">
    <w:name w:val="heading 1"/>
    <w:next w:val="1"/>
    <w:qFormat/>
    <w:uiPriority w:val="0"/>
    <w:pPr>
      <w:pBdr>
        <w:bottom w:val="single" w:color="D5D8EC" w:sz="6" w:space="6"/>
      </w:pBdr>
      <w:spacing w:before="320" w:after="160"/>
      <w:outlineLvl w:val="0"/>
    </w:pPr>
    <w:rPr>
      <w:rFonts w:ascii="Calibri" w:hAnsi="Calibri" w:eastAsia="Calibri" w:cs="Calibri"/>
      <w:b/>
      <w:bCs/>
      <w:color w:val="4338CA"/>
      <w:sz w:val="30"/>
      <w:szCs w:val="30"/>
    </w:rPr>
  </w:style>
  <w:style w:type="paragraph" w:styleId="3">
    <w:name w:val="heading 2"/>
    <w:next w:val="1"/>
    <w:qFormat/>
    <w:uiPriority w:val="0"/>
    <w:pPr>
      <w:spacing w:before="200" w:after="80"/>
      <w:outlineLvl w:val="1"/>
    </w:pPr>
    <w:rPr>
      <w:rFonts w:ascii="Calibri" w:hAnsi="Calibri" w:eastAsia="Calibri" w:cs="Calibri"/>
      <w:b/>
      <w:bCs/>
      <w:color w:val="312E81"/>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E293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E293B"/>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E293B"/>
      <w:sz w:val="56"/>
      <w:szCs w:val="56"/>
    </w:rPr>
  </w:style>
  <w:style w:type="paragraph" w:styleId="16">
    <w:name w:val="List Paragraph"/>
    <w:qFormat/>
    <w:uiPriority w:val="0"/>
    <w:rPr>
      <w:rFonts w:ascii="Calibri" w:hAnsi="Calibri" w:eastAsia="Calibri" w:cs="Calibri"/>
      <w:color w:val="1E293B"/>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4362</Words>
  <Characters>25610</Characters>
  <TotalTime>33</TotalTime>
  <ScaleCrop>false</ScaleCrop>
  <LinksUpToDate>false</LinksUpToDate>
  <CharactersWithSpaces>29693</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2026-07-04T17:29:00Z</dcterms:created>
  <dc:creator>SOC 2 Compliance Platform</dc:creator>
  <cp:lastModifiedBy>Admin</cp:lastModifiedBy>
  <dcterms:modified xsi:type="dcterms:W3CDTF">2026-07-17T06:56:56Z</dcterms:modified>
  <dc:title>SOC 2 Compliance Platform - Requirements Specification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eyJoZGlkIjoiZGE3Y2I3OTRlNTA1NjUwZGY1NGI3NTM4NWZhMGI4N2IifQ==</vt:lpwstr>
  </property>
  <property fmtid="{D5CDD505-2E9C-101B-9397-08002B2CF9AE}" pid="3" name="KSOProductBuildVer">
    <vt:lpwstr>1033-12.1.0.27458</vt:lpwstr>
  </property>
  <property fmtid="{D5CDD505-2E9C-101B-9397-08002B2CF9AE}" pid="4" name="ICV">
    <vt:lpwstr>B9CB7611E93442B8B4ADD7A0C7414439_12</vt:lpwstr>
  </property>
</Properties>
</file>