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Risk Assessment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Vendor Risk Management Owner</w:t>
            </w:r>
          </w:p>
        </w:tc>
        <w:tc>
          <w:tcPr>
            <w:tcW w:type="dxa" w:w="1440"/>
          </w:tcPr>
          <w:p>
            <w:r>
              <w:t>[Effective Date]</w:t>
            </w:r>
          </w:p>
        </w:tc>
        <w:tc>
          <w:tcPr>
            <w:tcW w:type="dxa" w:w="1440"/>
          </w:tcPr>
          <w:p>
            <w:r>
              <w:t>SOC 2</w:t>
            </w:r>
          </w:p>
        </w:tc>
        <w:tc>
          <w:tcPr>
            <w:tcW w:type="dxa" w:w="1440"/>
          </w:tcPr>
          <w:p>
            <w:r>
              <w:t>Confidential - Internal Use Only</w:t>
            </w:r>
          </w:p>
        </w:tc>
      </w:tr>
    </w:tbl>
    <w:p>
      <w:pPr>
        <w:pStyle w:val="Heading2"/>
      </w:pPr>
      <w:r>
        <w:t>Purpose</w:t>
      </w:r>
    </w:p>
    <w:p>
      <w:r>
        <w:t>This Vendor Risk Assessment Report documents the assessment of sub-service organisation risk for vendors, suppliers, platforms, managed service providers, contractors, and other third parties that support the organisation’s delivery of services relevant to SOC 2.</w:t>
      </w:r>
    </w:p>
    <w:p>
      <w:r>
        <w:t>The report is intended to:</w:t>
      </w:r>
    </w:p>
    <w:p>
      <w:pPr>
        <w:pStyle w:val="ListBullet"/>
      </w:pPr>
      <w:r>
        <w:t>Identify vendors that may affect the security, availability, processing integrity, confidentiality, or privacy of systems and data within the SOC 2 environment.</w:t>
      </w:r>
    </w:p>
    <w:p>
      <w:pPr>
        <w:pStyle w:val="ListBullet"/>
      </w:pPr>
      <w:r>
        <w:t>Evaluate whether vendor risks are appropriately understood, monitored, and mitigated.</w:t>
      </w:r>
    </w:p>
    <w:p>
      <w:pPr>
        <w:pStyle w:val="ListBullet"/>
      </w:pPr>
      <w:r>
        <w:t>Document assessment results, gaps, residual risks, and required remediation actions.</w:t>
      </w:r>
    </w:p>
    <w:p>
      <w:pPr>
        <w:pStyle w:val="ListBullet"/>
      </w:pPr>
      <w:r>
        <w:t>Provide management with a clear basis for vendor risk decisions, including approval, conditional approval, continued use, remediation, or termination.</w:t>
      </w:r>
    </w:p>
    <w:p>
      <w:pPr>
        <w:pStyle w:val="ListBullet"/>
      </w:pPr>
      <w:r>
        <w:t>Support evidence needs for SOC 2 examination activities by demonstrating that sub-service organisation risk is assessed and managed in a repeatable, risk-based manner.</w:t>
      </w:r>
    </w:p>
    <w:p>
      <w:r>
        <w:t>This report is not a vendor contract, policy, or onboarding procedure. It is an assessment record and management reporting artifact based on evidence collected during the reporting period.</w:t>
      </w:r>
    </w:p>
    <w:p>
      <w:pPr>
        <w:pStyle w:val="Heading2"/>
      </w:pPr>
      <w:r>
        <w:t>Reporting Period &amp; Scope</w:t>
      </w:r>
    </w:p>
    <w:p>
      <w:r>
        <w:t>Reporting period: [Start Date] to [End Date] Assessment completion date: [Completion Date] Assessment performed by: [Assessor Name / Team] Reviewed by: [Reviewer Name / Role] Approved by: [Approver Name / Role]</w:t>
      </w:r>
    </w:p>
    <w:p>
      <w:pPr>
        <w:pStyle w:val="Heading3"/>
      </w:pPr>
      <w:r>
        <w:t>In-Scope Vendor Population</w:t>
      </w:r>
    </w:p>
    <w:p>
      <w:r>
        <w:t>This assessment covers vendors and sub-service organisations that meet one or more of the following criteria:</w:t>
      </w:r>
    </w:p>
    <w:p>
      <w:pPr>
        <w:pStyle w:val="ListBullet"/>
      </w:pPr>
      <w:r>
        <w:t>Store, process, transmit, or have access to customer data, production data, confidential business information, or regulated information.</w:t>
      </w:r>
    </w:p>
    <w:p>
      <w:pPr>
        <w:pStyle w:val="ListBullet"/>
      </w:pPr>
      <w:r>
        <w:t>Provide hosting, infrastructure, platform, security, monitoring, identity, payment, customer support, data processing, or business-critical services.</w:t>
      </w:r>
    </w:p>
    <w:p>
      <w:pPr>
        <w:pStyle w:val="ListBullet"/>
      </w:pPr>
      <w:r>
        <w:t>Have administrative, privileged, remote, or persistent access to systems in the SOC 2 environment.</w:t>
      </w:r>
    </w:p>
    <w:p>
      <w:pPr>
        <w:pStyle w:val="ListBullet"/>
      </w:pPr>
      <w:r>
        <w:t>Support key controls relied upon for the secure and reliable delivery of the organisation’s services.</w:t>
      </w:r>
    </w:p>
    <w:p>
      <w:pPr>
        <w:pStyle w:val="ListBullet"/>
      </w:pPr>
      <w:r>
        <w:t>Could materially affect service availability, incident response, confidentiality, or customer commitments if they fail or are compromised.</w:t>
      </w:r>
    </w:p>
    <w:p>
      <w:pPr>
        <w:pStyle w:val="Heading3"/>
      </w:pPr>
      <w:r>
        <w:t>Out-of-Scope Vendor Population</w:t>
      </w:r>
    </w:p>
    <w:p>
      <w:r>
        <w:t>The following vendor categories are excluded from this report unless they have access to sensitive data or production systems:</w:t>
      </w:r>
    </w:p>
    <w:p>
      <w:pPr>
        <w:pStyle w:val="ListBullet"/>
      </w:pPr>
      <w:r>
        <w:t>Utilities and facilities providers with no logical access to systems.</w:t>
      </w:r>
    </w:p>
    <w:p>
      <w:pPr>
        <w:pStyle w:val="ListBullet"/>
      </w:pPr>
      <w:r>
        <w:t>General office supplies and commodity procurement vendors.</w:t>
      </w:r>
    </w:p>
    <w:p>
      <w:pPr>
        <w:pStyle w:val="ListBullet"/>
      </w:pPr>
      <w:r>
        <w:t>Marketing, event, and travel vendors with no access to customer data or production services.</w:t>
      </w:r>
    </w:p>
    <w:p>
      <w:pPr>
        <w:pStyle w:val="ListBullet"/>
      </w:pPr>
      <w:r>
        <w:t>One-time vendors where engagement has ended and no data or access remains.</w:t>
      </w:r>
    </w:p>
    <w:p>
      <w:pPr>
        <w:pStyle w:val="ListBullet"/>
      </w:pPr>
      <w:r>
        <w:t>Personal productivity tools not approved for company or customer data use.</w:t>
      </w:r>
    </w:p>
    <w:p>
      <w:pPr>
        <w:pStyle w:val="Heading3"/>
      </w:pPr>
      <w:r>
        <w:t>Vendor Risk Tiers</w:t>
      </w:r>
    </w:p>
    <w:p>
      <w:r>
        <w:t>Vendors were classified using the following risk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Description</w:t>
            </w:r>
          </w:p>
        </w:tc>
        <w:tc>
          <w:tcPr>
            <w:tcW w:type="dxa" w:w="2160"/>
          </w:tcPr>
          <w:p>
            <w:r>
              <w:t>Typical Examples</w:t>
            </w:r>
          </w:p>
        </w:tc>
        <w:tc>
          <w:tcPr>
            <w:tcW w:type="dxa" w:w="2160"/>
          </w:tcPr>
          <w:p>
            <w:r>
              <w:t>Assessment Expectation</w:t>
            </w:r>
          </w:p>
        </w:tc>
      </w:tr>
      <w:tr>
        <w:tc>
          <w:tcPr>
            <w:tcW w:type="dxa" w:w="2160"/>
          </w:tcPr>
          <w:p>
            <w:r>
              <w:t>Critical</w:t>
            </w:r>
          </w:p>
        </w:tc>
        <w:tc>
          <w:tcPr>
            <w:tcW w:type="dxa" w:w="2160"/>
          </w:tcPr>
          <w:p>
            <w:r>
              <w:t>Vendor failure or compromise could materially affect customer-facing services, production systems, or sensitive data</w:t>
            </w:r>
          </w:p>
        </w:tc>
        <w:tc>
          <w:tcPr>
            <w:tcW w:type="dxa" w:w="2160"/>
          </w:tcPr>
          <w:p>
            <w:r>
              <w:t>Cloud hosting provider, identity provider, payment processor, managed security provider</w:t>
            </w:r>
          </w:p>
        </w:tc>
        <w:tc>
          <w:tcPr>
            <w:tcW w:type="dxa" w:w="2160"/>
          </w:tcPr>
          <w:p>
            <w:r>
              <w:t>Full assessment before onboarding and at least annually thereafter</w:t>
            </w:r>
          </w:p>
        </w:tc>
      </w:tr>
      <w:tr>
        <w:tc>
          <w:tcPr>
            <w:tcW w:type="dxa" w:w="2160"/>
          </w:tcPr>
          <w:p>
            <w:r>
              <w:t>High</w:t>
            </w:r>
          </w:p>
        </w:tc>
        <w:tc>
          <w:tcPr>
            <w:tcW w:type="dxa" w:w="2160"/>
          </w:tcPr>
          <w:p>
            <w:r>
              <w:t>Vendor handles sensitive data or has significant access, but impact is limited or compensating controls exist</w:t>
            </w:r>
          </w:p>
        </w:tc>
        <w:tc>
          <w:tcPr>
            <w:tcW w:type="dxa" w:w="2160"/>
          </w:tcPr>
          <w:p>
            <w:r>
              <w:t>Customer support platform, data analytics provider, HR platform with employee personal data</w:t>
            </w:r>
          </w:p>
        </w:tc>
        <w:tc>
          <w:tcPr>
            <w:tcW w:type="dxa" w:w="2160"/>
          </w:tcPr>
          <w:p>
            <w:r>
              <w:t>Full assessment before onboarding and periodically based on risk</w:t>
            </w:r>
          </w:p>
        </w:tc>
      </w:tr>
      <w:tr>
        <w:tc>
          <w:tcPr>
            <w:tcW w:type="dxa" w:w="2160"/>
          </w:tcPr>
          <w:p>
            <w:r>
              <w:t>Medium</w:t>
            </w:r>
          </w:p>
        </w:tc>
        <w:tc>
          <w:tcPr>
            <w:tcW w:type="dxa" w:w="2160"/>
          </w:tcPr>
          <w:p>
            <w:r>
              <w:t>Vendor handles internal business data or provides operational services with limited customer impact</w:t>
            </w:r>
          </w:p>
        </w:tc>
        <w:tc>
          <w:tcPr>
            <w:tcW w:type="dxa" w:w="2160"/>
          </w:tcPr>
          <w:p>
            <w:r>
              <w:t>Finance system, ticketing tool, collaboration platform</w:t>
            </w:r>
          </w:p>
        </w:tc>
        <w:tc>
          <w:tcPr>
            <w:tcW w:type="dxa" w:w="2160"/>
          </w:tcPr>
          <w:p>
            <w:r>
              <w:t>Risk-based assessment and targeted evidence review</w:t>
            </w:r>
          </w:p>
        </w:tc>
      </w:tr>
      <w:tr>
        <w:tc>
          <w:tcPr>
            <w:tcW w:type="dxa" w:w="2160"/>
          </w:tcPr>
          <w:p>
            <w:r>
              <w:t>Low</w:t>
            </w:r>
          </w:p>
        </w:tc>
        <w:tc>
          <w:tcPr>
            <w:tcW w:type="dxa" w:w="2160"/>
          </w:tcPr>
          <w:p>
            <w:r>
              <w:t>Vendor has minimal data exposure and no production access</w:t>
            </w:r>
          </w:p>
        </w:tc>
        <w:tc>
          <w:tcPr>
            <w:tcW w:type="dxa" w:w="2160"/>
          </w:tcPr>
          <w:p>
            <w:r>
              <w:t>Office services, public information vendors</w:t>
            </w:r>
          </w:p>
        </w:tc>
        <w:tc>
          <w:tcPr>
            <w:tcW w:type="dxa" w:w="2160"/>
          </w:tcPr>
          <w:p>
            <w:r>
              <w:t>Basic review and business owner attestation</w:t>
            </w:r>
          </w:p>
        </w:tc>
      </w:tr>
    </w:tbl>
    <w:p>
      <w:pPr>
        <w:pStyle w:val="Heading3"/>
      </w:pPr>
      <w:r>
        <w:t>Vendors Included in This Reporting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Vendor</w:t>
            </w:r>
          </w:p>
        </w:tc>
        <w:tc>
          <w:tcPr>
            <w:tcW w:type="dxa" w:w="1440"/>
          </w:tcPr>
          <w:p>
            <w:r>
              <w:t>Service Provided</w:t>
            </w:r>
          </w:p>
        </w:tc>
        <w:tc>
          <w:tcPr>
            <w:tcW w:type="dxa" w:w="1440"/>
          </w:tcPr>
          <w:p>
            <w:r>
              <w:t>Business Owner</w:t>
            </w:r>
          </w:p>
        </w:tc>
        <w:tc>
          <w:tcPr>
            <w:tcW w:type="dxa" w:w="1440"/>
          </w:tcPr>
          <w:p>
            <w:r>
              <w:t>Data / Access Type</w:t>
            </w:r>
          </w:p>
        </w:tc>
        <w:tc>
          <w:tcPr>
            <w:tcW w:type="dxa" w:w="1440"/>
          </w:tcPr>
          <w:p>
            <w:r>
              <w:t>Risk Tier</w:t>
            </w:r>
          </w:p>
        </w:tc>
        <w:tc>
          <w:tcPr>
            <w:tcW w:type="dxa" w:w="1440"/>
          </w:tcPr>
          <w:p>
            <w:r>
              <w:t>Assessment Status</w:t>
            </w:r>
          </w:p>
        </w:tc>
      </w:tr>
      <w:tr>
        <w:tc>
          <w:tcPr>
            <w:tcW w:type="dxa" w:w="1440"/>
          </w:tcPr>
          <w:p>
            <w:r>
              <w:t>[Cloud Infrastructure Vendor]</w:t>
            </w:r>
          </w:p>
        </w:tc>
        <w:tc>
          <w:tcPr>
            <w:tcW w:type="dxa" w:w="1440"/>
          </w:tcPr>
          <w:p>
            <w:r>
              <w:t>Hosting and compute infrastructure</w:t>
            </w:r>
          </w:p>
        </w:tc>
        <w:tc>
          <w:tcPr>
            <w:tcW w:type="dxa" w:w="1440"/>
          </w:tcPr>
          <w:p>
            <w:r>
              <w:t>[Owner]</w:t>
            </w:r>
          </w:p>
        </w:tc>
        <w:tc>
          <w:tcPr>
            <w:tcW w:type="dxa" w:w="1440"/>
          </w:tcPr>
          <w:p>
            <w:r>
              <w:t>Production systems and customer data</w:t>
            </w:r>
          </w:p>
        </w:tc>
        <w:tc>
          <w:tcPr>
            <w:tcW w:type="dxa" w:w="1440"/>
          </w:tcPr>
          <w:p>
            <w:r>
              <w:t>Critical</w:t>
            </w:r>
          </w:p>
        </w:tc>
        <w:tc>
          <w:tcPr>
            <w:tcW w:type="dxa" w:w="1440"/>
          </w:tcPr>
          <w:p>
            <w:r>
              <w:t>Completed</w:t>
            </w:r>
          </w:p>
        </w:tc>
      </w:tr>
      <w:tr>
        <w:tc>
          <w:tcPr>
            <w:tcW w:type="dxa" w:w="1440"/>
          </w:tcPr>
          <w:p>
            <w:r>
              <w:t>[Identity Provider]</w:t>
            </w:r>
          </w:p>
        </w:tc>
        <w:tc>
          <w:tcPr>
            <w:tcW w:type="dxa" w:w="1440"/>
          </w:tcPr>
          <w:p>
            <w:r>
              <w:t>Single sign-on and access management</w:t>
            </w:r>
          </w:p>
        </w:tc>
        <w:tc>
          <w:tcPr>
            <w:tcW w:type="dxa" w:w="1440"/>
          </w:tcPr>
          <w:p>
            <w:r>
              <w:t>[Owner]</w:t>
            </w:r>
          </w:p>
        </w:tc>
        <w:tc>
          <w:tcPr>
            <w:tcW w:type="dxa" w:w="1440"/>
          </w:tcPr>
          <w:p>
            <w:r>
              <w:t>Authentication and user identity data</w:t>
            </w:r>
          </w:p>
        </w:tc>
        <w:tc>
          <w:tcPr>
            <w:tcW w:type="dxa" w:w="1440"/>
          </w:tcPr>
          <w:p>
            <w:r>
              <w:t>Critical</w:t>
            </w:r>
          </w:p>
        </w:tc>
        <w:tc>
          <w:tcPr>
            <w:tcW w:type="dxa" w:w="1440"/>
          </w:tcPr>
          <w:p>
            <w:r>
              <w:t>Completed</w:t>
            </w:r>
          </w:p>
        </w:tc>
      </w:tr>
      <w:tr>
        <w:tc>
          <w:tcPr>
            <w:tcW w:type="dxa" w:w="1440"/>
          </w:tcPr>
          <w:p>
            <w:r>
              <w:t>[Monitoring Vendor]</w:t>
            </w:r>
          </w:p>
        </w:tc>
        <w:tc>
          <w:tcPr>
            <w:tcW w:type="dxa" w:w="1440"/>
          </w:tcPr>
          <w:p>
            <w:r>
              <w:t>Logging, alerting, and observability</w:t>
            </w:r>
          </w:p>
        </w:tc>
        <w:tc>
          <w:tcPr>
            <w:tcW w:type="dxa" w:w="1440"/>
          </w:tcPr>
          <w:p>
            <w:r>
              <w:t>[Owner]</w:t>
            </w:r>
          </w:p>
        </w:tc>
        <w:tc>
          <w:tcPr>
            <w:tcW w:type="dxa" w:w="1440"/>
          </w:tcPr>
          <w:p>
            <w:r>
              <w:t>System logs and operational metadata</w:t>
            </w:r>
          </w:p>
        </w:tc>
        <w:tc>
          <w:tcPr>
            <w:tcW w:type="dxa" w:w="1440"/>
          </w:tcPr>
          <w:p>
            <w:r>
              <w:t>High</w:t>
            </w:r>
          </w:p>
        </w:tc>
        <w:tc>
          <w:tcPr>
            <w:tcW w:type="dxa" w:w="1440"/>
          </w:tcPr>
          <w:p>
            <w:r>
              <w:t>Completed</w:t>
            </w:r>
          </w:p>
        </w:tc>
      </w:tr>
      <w:tr>
        <w:tc>
          <w:tcPr>
            <w:tcW w:type="dxa" w:w="1440"/>
          </w:tcPr>
          <w:p>
            <w:r>
              <w:t>[Customer Support Platform]</w:t>
            </w:r>
          </w:p>
        </w:tc>
        <w:tc>
          <w:tcPr>
            <w:tcW w:type="dxa" w:w="1440"/>
          </w:tcPr>
          <w:p>
            <w:r>
              <w:t>Support ticketing and customer communications</w:t>
            </w:r>
          </w:p>
        </w:tc>
        <w:tc>
          <w:tcPr>
            <w:tcW w:type="dxa" w:w="1440"/>
          </w:tcPr>
          <w:p>
            <w:r>
              <w:t>[Owner]</w:t>
            </w:r>
          </w:p>
        </w:tc>
        <w:tc>
          <w:tcPr>
            <w:tcW w:type="dxa" w:w="1440"/>
          </w:tcPr>
          <w:p>
            <w:r>
              <w:t>Customer contact data and support content</w:t>
            </w:r>
          </w:p>
        </w:tc>
        <w:tc>
          <w:tcPr>
            <w:tcW w:type="dxa" w:w="1440"/>
          </w:tcPr>
          <w:p>
            <w:r>
              <w:t>High</w:t>
            </w:r>
          </w:p>
        </w:tc>
        <w:tc>
          <w:tcPr>
            <w:tcW w:type="dxa" w:w="1440"/>
          </w:tcPr>
          <w:p>
            <w:r>
              <w:t>Completed</w:t>
            </w:r>
          </w:p>
        </w:tc>
      </w:tr>
      <w:tr>
        <w:tc>
          <w:tcPr>
            <w:tcW w:type="dxa" w:w="1440"/>
          </w:tcPr>
          <w:p>
            <w:r>
              <w:t>[Payment Processor]</w:t>
            </w:r>
          </w:p>
        </w:tc>
        <w:tc>
          <w:tcPr>
            <w:tcW w:type="dxa" w:w="1440"/>
          </w:tcPr>
          <w:p>
            <w:r>
              <w:t>Payment transaction processing</w:t>
            </w:r>
          </w:p>
        </w:tc>
        <w:tc>
          <w:tcPr>
            <w:tcW w:type="dxa" w:w="1440"/>
          </w:tcPr>
          <w:p>
            <w:r>
              <w:t>[Owner]</w:t>
            </w:r>
          </w:p>
        </w:tc>
        <w:tc>
          <w:tcPr>
            <w:tcW w:type="dxa" w:w="1440"/>
          </w:tcPr>
          <w:p>
            <w:r>
              <w:t>Payment and billing data</w:t>
            </w:r>
          </w:p>
        </w:tc>
        <w:tc>
          <w:tcPr>
            <w:tcW w:type="dxa" w:w="1440"/>
          </w:tcPr>
          <w:p>
            <w:r>
              <w:t>Critical</w:t>
            </w:r>
          </w:p>
        </w:tc>
        <w:tc>
          <w:tcPr>
            <w:tcW w:type="dxa" w:w="1440"/>
          </w:tcPr>
          <w:p>
            <w:r>
              <w:t>Completed</w:t>
            </w:r>
          </w:p>
        </w:tc>
      </w:tr>
      <w:tr>
        <w:tc>
          <w:tcPr>
            <w:tcW w:type="dxa" w:w="1440"/>
          </w:tcPr>
          <w:p>
            <w:r>
              <w:t>[HR Platform]</w:t>
            </w:r>
          </w:p>
        </w:tc>
        <w:tc>
          <w:tcPr>
            <w:tcW w:type="dxa" w:w="1440"/>
          </w:tcPr>
          <w:p>
            <w:r>
              <w:t>Workforce administration</w:t>
            </w:r>
          </w:p>
        </w:tc>
        <w:tc>
          <w:tcPr>
            <w:tcW w:type="dxa" w:w="1440"/>
          </w:tcPr>
          <w:p>
            <w:r>
              <w:t>[Owner]</w:t>
            </w:r>
          </w:p>
        </w:tc>
        <w:tc>
          <w:tcPr>
            <w:tcW w:type="dxa" w:w="1440"/>
          </w:tcPr>
          <w:p>
            <w:r>
              <w:t>Employee personal data</w:t>
            </w:r>
          </w:p>
        </w:tc>
        <w:tc>
          <w:tcPr>
            <w:tcW w:type="dxa" w:w="1440"/>
          </w:tcPr>
          <w:p>
            <w:r>
              <w:t>Medium</w:t>
            </w:r>
          </w:p>
        </w:tc>
        <w:tc>
          <w:tcPr>
            <w:tcW w:type="dxa" w:w="1440"/>
          </w:tcPr>
          <w:p>
            <w:r>
              <w:t>Completed</w:t>
            </w:r>
          </w:p>
        </w:tc>
      </w:tr>
      <w:tr>
        <w:tc>
          <w:tcPr>
            <w:tcW w:type="dxa" w:w="1440"/>
          </w:tcPr>
          <w:p>
            <w:r>
              <w:t>[Email and Collaboration Provider]</w:t>
            </w:r>
          </w:p>
        </w:tc>
        <w:tc>
          <w:tcPr>
            <w:tcW w:type="dxa" w:w="1440"/>
          </w:tcPr>
          <w:p>
            <w:r>
              <w:t>Corporate communications</w:t>
            </w:r>
          </w:p>
        </w:tc>
        <w:tc>
          <w:tcPr>
            <w:tcW w:type="dxa" w:w="1440"/>
          </w:tcPr>
          <w:p>
            <w:r>
              <w:t>[Owner]</w:t>
            </w:r>
          </w:p>
        </w:tc>
        <w:tc>
          <w:tcPr>
            <w:tcW w:type="dxa" w:w="1440"/>
          </w:tcPr>
          <w:p>
            <w:r>
              <w:t>Internal communications and files</w:t>
            </w:r>
          </w:p>
        </w:tc>
        <w:tc>
          <w:tcPr>
            <w:tcW w:type="dxa" w:w="1440"/>
          </w:tcPr>
          <w:p>
            <w:r>
              <w:t>Medium</w:t>
            </w:r>
          </w:p>
        </w:tc>
        <w:tc>
          <w:tcPr>
            <w:tcW w:type="dxa" w:w="1440"/>
          </w:tcPr>
          <w:p>
            <w:r>
              <w:t>Completed</w:t>
            </w:r>
          </w:p>
        </w:tc>
      </w:tr>
      <w:tr>
        <w:tc>
          <w:tcPr>
            <w:tcW w:type="dxa" w:w="1440"/>
          </w:tcPr>
          <w:p>
            <w:r>
              <w:t>[Analytics Provider]</w:t>
            </w:r>
          </w:p>
        </w:tc>
        <w:tc>
          <w:tcPr>
            <w:tcW w:type="dxa" w:w="1440"/>
          </w:tcPr>
          <w:p>
            <w:r>
              <w:t>Product usage analytics</w:t>
            </w:r>
          </w:p>
        </w:tc>
        <w:tc>
          <w:tcPr>
            <w:tcW w:type="dxa" w:w="1440"/>
          </w:tcPr>
          <w:p>
            <w:r>
              <w:t>[Owner]</w:t>
            </w:r>
          </w:p>
        </w:tc>
        <w:tc>
          <w:tcPr>
            <w:tcW w:type="dxa" w:w="1440"/>
          </w:tcPr>
          <w:p>
            <w:r>
              <w:t>Usage data and pseudonymised identifiers</w:t>
            </w:r>
          </w:p>
        </w:tc>
        <w:tc>
          <w:tcPr>
            <w:tcW w:type="dxa" w:w="1440"/>
          </w:tcPr>
          <w:p>
            <w:r>
              <w:t>Medium</w:t>
            </w:r>
          </w:p>
        </w:tc>
        <w:tc>
          <w:tcPr>
            <w:tcW w:type="dxa" w:w="1440"/>
          </w:tcPr>
          <w:p>
            <w:r>
              <w:t>Completed</w:t>
            </w:r>
          </w:p>
        </w:tc>
      </w:tr>
    </w:tbl>
    <w:p>
      <w:pPr>
        <w:pStyle w:val="Heading3"/>
      </w:pPr>
      <w:r>
        <w:t>Systems, Data, and Processes Considered</w:t>
      </w:r>
    </w:p>
    <w:p>
      <w:r>
        <w:t>The assessment considered vendor impact on:</w:t>
      </w:r>
    </w:p>
    <w:p>
      <w:pPr>
        <w:pStyle w:val="ListBullet"/>
      </w:pPr>
      <w:r>
        <w:t>Production application infrastructure.</w:t>
      </w:r>
    </w:p>
    <w:p>
      <w:pPr>
        <w:pStyle w:val="ListBullet"/>
      </w:pPr>
      <w:r>
        <w:t>Customer data storage and processing.</w:t>
      </w:r>
    </w:p>
    <w:p>
      <w:pPr>
        <w:pStyle w:val="ListBullet"/>
      </w:pPr>
      <w:r>
        <w:t>Identity and access management.</w:t>
      </w:r>
    </w:p>
    <w:p>
      <w:pPr>
        <w:pStyle w:val="ListBullet"/>
      </w:pPr>
      <w:r>
        <w:t>Administrative access to systems.</w:t>
      </w:r>
    </w:p>
    <w:p>
      <w:pPr>
        <w:pStyle w:val="ListBullet"/>
      </w:pPr>
      <w:r>
        <w:t>Security monitoring, logging, and incident detection.</w:t>
      </w:r>
    </w:p>
    <w:p>
      <w:pPr>
        <w:pStyle w:val="ListBullet"/>
      </w:pPr>
      <w:r>
        <w:t>Backup, recovery, and service availability.</w:t>
      </w:r>
    </w:p>
    <w:p>
      <w:pPr>
        <w:pStyle w:val="ListBullet"/>
      </w:pPr>
      <w:r>
        <w:t>Customer support and communications.</w:t>
      </w:r>
    </w:p>
    <w:p>
      <w:pPr>
        <w:pStyle w:val="ListBullet"/>
      </w:pPr>
      <w:r>
        <w:t>Data retention and deletion.</w:t>
      </w:r>
    </w:p>
    <w:p>
      <w:pPr>
        <w:pStyle w:val="ListBullet"/>
      </w:pPr>
      <w:r>
        <w:t>Contractual security and confidentiality commitments.</w:t>
      </w:r>
    </w:p>
    <w:p>
      <w:pPr>
        <w:pStyle w:val="ListBullet"/>
      </w:pPr>
      <w:r>
        <w:t>Vendor incident notification and escalation.</w:t>
      </w:r>
    </w:p>
    <w:p>
      <w:pPr>
        <w:pStyle w:val="ListBullet"/>
      </w:pPr>
      <w:r>
        <w:t>Subcontractor and downstream provider oversight.</w:t>
      </w:r>
    </w:p>
    <w:p>
      <w:pPr>
        <w:pStyle w:val="Heading2"/>
      </w:pPr>
      <w:r>
        <w:t>Executive Summary</w:t>
      </w:r>
    </w:p>
    <w:p>
      <w:r>
        <w:t>During the reporting period, [number] vendors were reviewed for sub-service organisation risk. The vendor population includes [number] Critical, [number] High, [number] Medium, and [number] Low-risk vendors supporting the SOC 2 environment.</w:t>
      </w:r>
    </w:p>
    <w:p>
      <w:r>
        <w:t>Overall, the organisation has established a practical vendor risk management process, including vendor identification, risk tiering, evidence collection, security review, contract review, and periodic reassessment. Critical and High-risk vendors generally have appropriate security documentation available, including independent assurance reports, security questionnaires, privacy documentation, service commitments, and incident response information.</w:t>
      </w:r>
    </w:p>
    <w:p>
      <w:r>
        <w:t>However, the assessment identified several areas requiring improvement to strengthen vendor oversight and maintain consistent evidence for SOC 2 readiness:</w:t>
      </w:r>
    </w:p>
    <w:p>
      <w:pPr>
        <w:pStyle w:val="ListBullet"/>
      </w:pPr>
      <w:r>
        <w:t>Vendor inventory records are generally complete, but some entries lack documented business owners, data classification details, or reassessment dates.</w:t>
      </w:r>
    </w:p>
    <w:p>
      <w:pPr>
        <w:pStyle w:val="ListBullet"/>
      </w:pPr>
      <w:r>
        <w:t>Evidence for several Medium-risk vendors is incomplete or not consistently stored in the central repository.</w:t>
      </w:r>
    </w:p>
    <w:p>
      <w:pPr>
        <w:pStyle w:val="ListBullet"/>
      </w:pPr>
      <w:r>
        <w:t>Some contracts do not clearly document security responsibilities, breach notification timing, audit rights, data return or deletion obligations, or use of subcontractors.</w:t>
      </w:r>
    </w:p>
    <w:p>
      <w:pPr>
        <w:pStyle w:val="ListBullet"/>
      </w:pPr>
      <w:r>
        <w:t>Ongoing monitoring is performed for Critical vendors but is less consistent for High and Medium-risk vendors.</w:t>
      </w:r>
    </w:p>
    <w:p>
      <w:pPr>
        <w:pStyle w:val="ListBullet"/>
      </w:pPr>
      <w:r>
        <w:t>Vendor offboarding evidence is not always retained, particularly for access removal and data deletion confirmation.</w:t>
      </w:r>
    </w:p>
    <w:p>
      <w:r>
        <w:t>No immediate evidence was identified that current vendors have caused a material security incident, prolonged service outage, or confirmed customer data compromise during the reporting period. Residual risks remain where contract terms, monitoring evidence, or reassessment documentation are incomplete.</w:t>
      </w:r>
    </w:p>
    <w:p>
      <w:pPr>
        <w:pStyle w:val="Heading3"/>
      </w:pPr>
      <w:r>
        <w:t>Overall Assessment 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Rating</w:t>
            </w:r>
          </w:p>
        </w:tc>
        <w:tc>
          <w:tcPr>
            <w:tcW w:type="dxa" w:w="2880"/>
          </w:tcPr>
          <w:p>
            <w:r>
              <w:t>Summary</w:t>
            </w:r>
          </w:p>
        </w:tc>
      </w:tr>
      <w:tr>
        <w:tc>
          <w:tcPr>
            <w:tcW w:type="dxa" w:w="2880"/>
          </w:tcPr>
          <w:p>
            <w:r>
              <w:t>Vendor inventory completeness</w:t>
            </w:r>
          </w:p>
        </w:tc>
        <w:tc>
          <w:tcPr>
            <w:tcW w:type="dxa" w:w="2880"/>
          </w:tcPr>
          <w:p>
            <w:r>
              <w:t>Partially Effective</w:t>
            </w:r>
          </w:p>
        </w:tc>
        <w:tc>
          <w:tcPr>
            <w:tcW w:type="dxa" w:w="2880"/>
          </w:tcPr>
          <w:p>
            <w:r>
              <w:t>Inventory exists but requires improved ownership and data classification fields</w:t>
            </w:r>
          </w:p>
        </w:tc>
      </w:tr>
      <w:tr>
        <w:tc>
          <w:tcPr>
            <w:tcW w:type="dxa" w:w="2880"/>
          </w:tcPr>
          <w:p>
            <w:r>
              <w:t>Risk tiering</w:t>
            </w:r>
          </w:p>
        </w:tc>
        <w:tc>
          <w:tcPr>
            <w:tcW w:type="dxa" w:w="2880"/>
          </w:tcPr>
          <w:p>
            <w:r>
              <w:t>Effective</w:t>
            </w:r>
          </w:p>
        </w:tc>
        <w:tc>
          <w:tcPr>
            <w:tcW w:type="dxa" w:w="2880"/>
          </w:tcPr>
          <w:p>
            <w:r>
              <w:t>Vendors are broadly categorized using appropriate risk factors</w:t>
            </w:r>
          </w:p>
        </w:tc>
      </w:tr>
      <w:tr>
        <w:tc>
          <w:tcPr>
            <w:tcW w:type="dxa" w:w="2880"/>
          </w:tcPr>
          <w:p>
            <w:r>
              <w:t>Due diligence evidence</w:t>
            </w:r>
          </w:p>
        </w:tc>
        <w:tc>
          <w:tcPr>
            <w:tcW w:type="dxa" w:w="2880"/>
          </w:tcPr>
          <w:p>
            <w:r>
              <w:t>Partially Effective</w:t>
            </w:r>
          </w:p>
        </w:tc>
        <w:tc>
          <w:tcPr>
            <w:tcW w:type="dxa" w:w="2880"/>
          </w:tcPr>
          <w:p>
            <w:r>
              <w:t>Critical vendor evidence is strong; lower-tier evidence is inconsistent</w:t>
            </w:r>
          </w:p>
        </w:tc>
      </w:tr>
      <w:tr>
        <w:tc>
          <w:tcPr>
            <w:tcW w:type="dxa" w:w="2880"/>
          </w:tcPr>
          <w:p>
            <w:r>
              <w:t>Contractual protections</w:t>
            </w:r>
          </w:p>
        </w:tc>
        <w:tc>
          <w:tcPr>
            <w:tcW w:type="dxa" w:w="2880"/>
          </w:tcPr>
          <w:p>
            <w:r>
              <w:t>Partially Effective</w:t>
            </w:r>
          </w:p>
        </w:tc>
        <w:tc>
          <w:tcPr>
            <w:tcW w:type="dxa" w:w="2880"/>
          </w:tcPr>
          <w:p>
            <w:r>
              <w:t>Key terms exist for most Critical vendors; some gaps remain</w:t>
            </w:r>
          </w:p>
        </w:tc>
      </w:tr>
      <w:tr>
        <w:tc>
          <w:tcPr>
            <w:tcW w:type="dxa" w:w="2880"/>
          </w:tcPr>
          <w:p>
            <w:r>
              <w:t>Ongoing monitoring</w:t>
            </w:r>
          </w:p>
        </w:tc>
        <w:tc>
          <w:tcPr>
            <w:tcW w:type="dxa" w:w="2880"/>
          </w:tcPr>
          <w:p>
            <w:r>
              <w:t>Partially Effective</w:t>
            </w:r>
          </w:p>
        </w:tc>
        <w:tc>
          <w:tcPr>
            <w:tcW w:type="dxa" w:w="2880"/>
          </w:tcPr>
          <w:p>
            <w:r>
              <w:t>Monitoring is strongest for Critical vendors and inconsistent for others</w:t>
            </w:r>
          </w:p>
        </w:tc>
      </w:tr>
      <w:tr>
        <w:tc>
          <w:tcPr>
            <w:tcW w:type="dxa" w:w="2880"/>
          </w:tcPr>
          <w:p>
            <w:r>
              <w:t>Issue remediation tracking</w:t>
            </w:r>
          </w:p>
        </w:tc>
        <w:tc>
          <w:tcPr>
            <w:tcW w:type="dxa" w:w="2880"/>
          </w:tcPr>
          <w:p>
            <w:r>
              <w:t>Needs Improvement</w:t>
            </w:r>
          </w:p>
        </w:tc>
        <w:tc>
          <w:tcPr>
            <w:tcW w:type="dxa" w:w="2880"/>
          </w:tcPr>
          <w:p>
            <w:r>
              <w:t>Findings are identified but action tracking requires stronger accountability</w:t>
            </w:r>
          </w:p>
        </w:tc>
      </w:tr>
      <w:tr>
        <w:tc>
          <w:tcPr>
            <w:tcW w:type="dxa" w:w="2880"/>
          </w:tcPr>
          <w:p>
            <w:r>
              <w:t>Offboarding controls</w:t>
            </w:r>
          </w:p>
        </w:tc>
        <w:tc>
          <w:tcPr>
            <w:tcW w:type="dxa" w:w="2880"/>
          </w:tcPr>
          <w:p>
            <w:r>
              <w:t>Needs Improvement</w:t>
            </w:r>
          </w:p>
        </w:tc>
        <w:tc>
          <w:tcPr>
            <w:tcW w:type="dxa" w:w="2880"/>
          </w:tcPr>
          <w:p>
            <w:r>
              <w:t>Access removal is generally performed, but evidence retention is inconsistent</w:t>
            </w:r>
          </w:p>
        </w:tc>
      </w:tr>
    </w:tbl>
    <w:p>
      <w:pPr>
        <w:pStyle w:val="Heading3"/>
      </w:pPr>
      <w:r>
        <w:t>Summary of Key Risks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ID</w:t>
            </w:r>
          </w:p>
        </w:tc>
        <w:tc>
          <w:tcPr>
            <w:tcW w:type="dxa" w:w="1728"/>
          </w:tcPr>
          <w:p>
            <w:r>
              <w:t>Risk Statement</w:t>
            </w:r>
          </w:p>
        </w:tc>
        <w:tc>
          <w:tcPr>
            <w:tcW w:type="dxa" w:w="1728"/>
          </w:tcPr>
          <w:p>
            <w:r>
              <w:t>Inherent Risk</w:t>
            </w:r>
          </w:p>
        </w:tc>
        <w:tc>
          <w:tcPr>
            <w:tcW w:type="dxa" w:w="1728"/>
          </w:tcPr>
          <w:p>
            <w:r>
              <w:t>Residual Risk</w:t>
            </w:r>
          </w:p>
        </w:tc>
        <w:tc>
          <w:tcPr>
            <w:tcW w:type="dxa" w:w="1728"/>
          </w:tcPr>
          <w:p>
            <w:r>
              <w:t>Priority</w:t>
            </w:r>
          </w:p>
        </w:tc>
      </w:tr>
      <w:tr>
        <w:tc>
          <w:tcPr>
            <w:tcW w:type="dxa" w:w="1728"/>
          </w:tcPr>
          <w:p>
            <w:r>
              <w:t>VR-001</w:t>
            </w:r>
          </w:p>
        </w:tc>
        <w:tc>
          <w:tcPr>
            <w:tcW w:type="dxa" w:w="1728"/>
          </w:tcPr>
          <w:p>
            <w:r>
              <w:t>Incomplete vendor inventory may result in unassessed third-party access to systems or data</w:t>
            </w:r>
          </w:p>
        </w:tc>
        <w:tc>
          <w:tcPr>
            <w:tcW w:type="dxa" w:w="1728"/>
          </w:tcPr>
          <w:p>
            <w:r>
              <w:t>High</w:t>
            </w:r>
          </w:p>
        </w:tc>
        <w:tc>
          <w:tcPr>
            <w:tcW w:type="dxa" w:w="1728"/>
          </w:tcPr>
          <w:p>
            <w:r>
              <w:t>Medium</w:t>
            </w:r>
          </w:p>
        </w:tc>
        <w:tc>
          <w:tcPr>
            <w:tcW w:type="dxa" w:w="1728"/>
          </w:tcPr>
          <w:p>
            <w:r>
              <w:t>High</w:t>
            </w:r>
          </w:p>
        </w:tc>
      </w:tr>
      <w:tr>
        <w:tc>
          <w:tcPr>
            <w:tcW w:type="dxa" w:w="1728"/>
          </w:tcPr>
          <w:p>
            <w:r>
              <w:t>VR-002</w:t>
            </w:r>
          </w:p>
        </w:tc>
        <w:tc>
          <w:tcPr>
            <w:tcW w:type="dxa" w:w="1728"/>
          </w:tcPr>
          <w:p>
            <w:r>
              <w:t>Insufficient contract security terms may limit enforcement of confidentiality, incident notification, and data protection obligations</w:t>
            </w:r>
          </w:p>
        </w:tc>
        <w:tc>
          <w:tcPr>
            <w:tcW w:type="dxa" w:w="1728"/>
          </w:tcPr>
          <w:p>
            <w:r>
              <w:t>High</w:t>
            </w:r>
          </w:p>
        </w:tc>
        <w:tc>
          <w:tcPr>
            <w:tcW w:type="dxa" w:w="1728"/>
          </w:tcPr>
          <w:p>
            <w:r>
              <w:t>Medium</w:t>
            </w:r>
          </w:p>
        </w:tc>
        <w:tc>
          <w:tcPr>
            <w:tcW w:type="dxa" w:w="1728"/>
          </w:tcPr>
          <w:p>
            <w:r>
              <w:t>High</w:t>
            </w:r>
          </w:p>
        </w:tc>
      </w:tr>
      <w:tr>
        <w:tc>
          <w:tcPr>
            <w:tcW w:type="dxa" w:w="1728"/>
          </w:tcPr>
          <w:p>
            <w:r>
              <w:t>VR-003</w:t>
            </w:r>
          </w:p>
        </w:tc>
        <w:tc>
          <w:tcPr>
            <w:tcW w:type="dxa" w:w="1728"/>
          </w:tcPr>
          <w:p>
            <w:r>
              <w:t>Inconsistent ongoing vendor monitoring may delay detection of changes in vendor risk posture</w:t>
            </w:r>
          </w:p>
        </w:tc>
        <w:tc>
          <w:tcPr>
            <w:tcW w:type="dxa" w:w="1728"/>
          </w:tcPr>
          <w:p>
            <w:r>
              <w:t>Medium</w:t>
            </w:r>
          </w:p>
        </w:tc>
        <w:tc>
          <w:tcPr>
            <w:tcW w:type="dxa" w:w="1728"/>
          </w:tcPr>
          <w:p>
            <w:r>
              <w:t>Medium</w:t>
            </w:r>
          </w:p>
        </w:tc>
        <w:tc>
          <w:tcPr>
            <w:tcW w:type="dxa" w:w="1728"/>
          </w:tcPr>
          <w:p>
            <w:r>
              <w:t>Medium</w:t>
            </w:r>
          </w:p>
        </w:tc>
      </w:tr>
      <w:tr>
        <w:tc>
          <w:tcPr>
            <w:tcW w:type="dxa" w:w="1728"/>
          </w:tcPr>
          <w:p>
            <w:r>
              <w:t>VR-004</w:t>
            </w:r>
          </w:p>
        </w:tc>
        <w:tc>
          <w:tcPr>
            <w:tcW w:type="dxa" w:w="1728"/>
          </w:tcPr>
          <w:p>
            <w:r>
              <w:t>Incomplete offboarding evidence may prevent confirmation that vendor access and retained data were removed</w:t>
            </w:r>
          </w:p>
        </w:tc>
        <w:tc>
          <w:tcPr>
            <w:tcW w:type="dxa" w:w="1728"/>
          </w:tcPr>
          <w:p>
            <w:r>
              <w:t>Medium</w:t>
            </w:r>
          </w:p>
        </w:tc>
        <w:tc>
          <w:tcPr>
            <w:tcW w:type="dxa" w:w="1728"/>
          </w:tcPr>
          <w:p>
            <w:r>
              <w:t>Medium</w:t>
            </w:r>
          </w:p>
        </w:tc>
        <w:tc>
          <w:tcPr>
            <w:tcW w:type="dxa" w:w="1728"/>
          </w:tcPr>
          <w:p>
            <w:r>
              <w:t>Medium</w:t>
            </w:r>
          </w:p>
        </w:tc>
      </w:tr>
      <w:tr>
        <w:tc>
          <w:tcPr>
            <w:tcW w:type="dxa" w:w="1728"/>
          </w:tcPr>
          <w:p>
            <w:r>
              <w:t>VR-005</w:t>
            </w:r>
          </w:p>
        </w:tc>
        <w:tc>
          <w:tcPr>
            <w:tcW w:type="dxa" w:w="1728"/>
          </w:tcPr>
          <w:p>
            <w:r>
              <w:t>Incomplete documentation for Medium-risk vendors may reduce audit readiness and weaken risk visibility</w:t>
            </w:r>
          </w:p>
        </w:tc>
        <w:tc>
          <w:tcPr>
            <w:tcW w:type="dxa" w:w="1728"/>
          </w:tcPr>
          <w:p>
            <w:r>
              <w:t>Medium</w:t>
            </w:r>
          </w:p>
        </w:tc>
        <w:tc>
          <w:tcPr>
            <w:tcW w:type="dxa" w:w="1728"/>
          </w:tcPr>
          <w:p>
            <w:r>
              <w:t>Low</w:t>
            </w:r>
          </w:p>
        </w:tc>
        <w:tc>
          <w:tcPr>
            <w:tcW w:type="dxa" w:w="1728"/>
          </w:tcPr>
          <w:p>
            <w:r>
              <w:t>Medium</w:t>
            </w:r>
          </w:p>
        </w:tc>
      </w:tr>
    </w:tbl>
    <w:p>
      <w:pPr>
        <w:pStyle w:val="Heading2"/>
      </w:pPr>
      <w:r>
        <w:t>Methodology</w:t>
      </w:r>
    </w:p>
    <w:p>
      <w:r>
        <w:t>The assessment was performed using a risk-based approach appropriate to each vendor’s role, access level, data exposure, service criticality, and potential impact on the organisation’s SOC 2 commitments.</w:t>
      </w:r>
    </w:p>
    <w:p>
      <w:pPr>
        <w:pStyle w:val="Heading3"/>
      </w:pPr>
      <w:r>
        <w:t>Assessment Activities</w:t>
      </w:r>
    </w:p>
    <w:p>
      <w:r>
        <w:t>The following activities were performed:</w:t>
      </w:r>
    </w:p>
    <w:p>
      <w:pPr>
        <w:pStyle w:val="ListBullet"/>
      </w:pPr>
      <w:r>
        <w:t>Vendor Inventory Review</w:t>
      </w:r>
    </w:p>
    <w:p>
      <w:pPr>
        <w:pStyle w:val="ListBullet"/>
      </w:pPr>
      <w:r>
        <w:t>Compared the vendor inventory to procurement records, accounts payable data, system access lists, approved software lists, and business owner submissions.</w:t>
      </w:r>
    </w:p>
    <w:p>
      <w:pPr>
        <w:pStyle w:val="ListBullet"/>
      </w:pPr>
      <w:r>
        <w:t>Confirmed whether vendors had assigned business owners and documented service descriptions.</w:t>
      </w:r>
    </w:p>
    <w:p>
      <w:pPr>
        <w:pStyle w:val="ListBullet"/>
      </w:pPr>
      <w:r>
        <w:t>Checked whether data types and access levels were documented.</w:t>
      </w:r>
    </w:p>
    <w:p>
      <w:pPr>
        <w:pStyle w:val="ListBullet"/>
      </w:pPr>
      <w:r>
        <w:t>Risk Tier Validation</w:t>
      </w:r>
    </w:p>
    <w:p>
      <w:pPr>
        <w:pStyle w:val="ListBullet"/>
      </w:pPr>
      <w:r>
        <w:t>Reviewed risk tiering against current vendor use.</w:t>
      </w:r>
    </w:p>
    <w:p>
      <w:pPr>
        <w:pStyle w:val="ListBullet"/>
      </w:pPr>
      <w:r>
        <w:t>Considered service criticality, data sensitivity, access privileges, operational dependency, substitutability, and customer impact.</w:t>
      </w:r>
    </w:p>
    <w:p>
      <w:pPr>
        <w:pStyle w:val="ListBullet"/>
      </w:pPr>
      <w:r>
        <w:t>Adjusted proposed risk tiers where vendor use changed during the reporting period.</w:t>
      </w:r>
    </w:p>
    <w:p>
      <w:pPr>
        <w:pStyle w:val="ListBullet"/>
      </w:pPr>
      <w:r>
        <w:t>Due Diligence Evidence Review</w:t>
      </w:r>
    </w:p>
    <w:p>
      <w:pPr>
        <w:pStyle w:val="ListBullet"/>
      </w:pPr>
      <w:r>
        <w:t>Reviewed available independent assurance reports, security questionnaires, penetration test summaries, security whitepapers, privacy documentation, compliance attestations, and incident response materials.</w:t>
      </w:r>
    </w:p>
    <w:p>
      <w:pPr>
        <w:pStyle w:val="ListBullet"/>
      </w:pPr>
      <w:r>
        <w:t>Confirmed whether evidence was current and relevant to the services used by the organisation.</w:t>
      </w:r>
    </w:p>
    <w:p>
      <w:pPr>
        <w:pStyle w:val="ListBullet"/>
      </w:pPr>
      <w:r>
        <w:t>Evaluated whether identified exceptions or carve-outs affected the organisation’s reliance on the vendor.</w:t>
      </w:r>
    </w:p>
    <w:p>
      <w:pPr>
        <w:pStyle w:val="ListBullet"/>
      </w:pPr>
      <w:r>
        <w:t>Contract and Legal Review</w:t>
      </w:r>
    </w:p>
    <w:p>
      <w:pPr>
        <w:pStyle w:val="ListBullet"/>
      </w:pPr>
      <w:r>
        <w:t>Reviewed selected vendor agreements for confidentiality, security obligations, breach notification, data processing terms, subcontractor management, audit rights, service commitments, termination rights, and data return or deletion obligations.</w:t>
      </w:r>
    </w:p>
    <w:p>
      <w:pPr>
        <w:pStyle w:val="ListBullet"/>
      </w:pPr>
      <w:r>
        <w:t>Confirmed whether security addenda or data processing addenda were in place where appropriate.</w:t>
      </w:r>
    </w:p>
    <w:p>
      <w:pPr>
        <w:pStyle w:val="ListBullet"/>
      </w:pPr>
      <w:r>
        <w:t>Access and Data Exposure Review</w:t>
      </w:r>
    </w:p>
    <w:p>
      <w:pPr>
        <w:pStyle w:val="ListBullet"/>
      </w:pPr>
      <w:r>
        <w:t>Assessed whether vendor access was necessary, approved, least-privileged, and periodically reviewed.</w:t>
      </w:r>
    </w:p>
    <w:p>
      <w:pPr>
        <w:pStyle w:val="ListBullet"/>
      </w:pPr>
      <w:r>
        <w:t>Reviewed whether vendors had privileged or persistent access to production systems.</w:t>
      </w:r>
    </w:p>
    <w:p>
      <w:pPr>
        <w:pStyle w:val="ListBullet"/>
      </w:pPr>
      <w:r>
        <w:t>Confirmed whether data shared with vendors aligned with documented business purpose.</w:t>
      </w:r>
    </w:p>
    <w:p>
      <w:pPr>
        <w:pStyle w:val="ListBullet"/>
      </w:pPr>
      <w:r>
        <w:t>Operational Dependency Review</w:t>
      </w:r>
    </w:p>
    <w:p>
      <w:pPr>
        <w:pStyle w:val="ListBullet"/>
      </w:pPr>
      <w:r>
        <w:t>Evaluated the potential effect of vendor outage, service degradation, or vendor termination.</w:t>
      </w:r>
    </w:p>
    <w:p>
      <w:pPr>
        <w:pStyle w:val="ListBullet"/>
      </w:pPr>
      <w:r>
        <w:t>Reviewed availability commitments, redundancy, backup considerations, exit plans, and incident escalation channels.</w:t>
      </w:r>
    </w:p>
    <w:p>
      <w:pPr>
        <w:pStyle w:val="ListBullet"/>
      </w:pPr>
      <w:r>
        <w:t>Ongoing Monitoring Review</w:t>
      </w:r>
    </w:p>
    <w:p>
      <w:pPr>
        <w:pStyle w:val="ListBullet"/>
      </w:pPr>
      <w:r>
        <w:t>Checked whether the organisation performed periodic reassessments for Critical and High-risk vendors.</w:t>
      </w:r>
    </w:p>
    <w:p>
      <w:pPr>
        <w:pStyle w:val="ListBullet"/>
      </w:pPr>
      <w:r>
        <w:t>Reviewed monitoring inputs such as assurance report updates, security notifications, vendor status pages, incident disclosures, contract renewals, and service review meetings.</w:t>
      </w:r>
    </w:p>
    <w:p>
      <w:pPr>
        <w:pStyle w:val="ListBullet"/>
      </w:pPr>
      <w:r>
        <w:t>Issue Identification and Risk Rating</w:t>
      </w:r>
    </w:p>
    <w:p>
      <w:pPr>
        <w:pStyle w:val="ListBullet"/>
      </w:pPr>
      <w:r>
        <w:t>Documented findings based on evidence gaps, control weaknesses, contractual deficiencies, and unresolved risks.</w:t>
      </w:r>
    </w:p>
    <w:p>
      <w:pPr>
        <w:pStyle w:val="ListBullet"/>
      </w:pPr>
      <w:r>
        <w:t>Assigned severity based on likelihood, business impact, data sensitivity, and control maturity.</w:t>
      </w:r>
    </w:p>
    <w:p>
      <w:pPr>
        <w:pStyle w:val="Heading3"/>
      </w:pPr>
      <w:r>
        <w:t>Evidence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Examples Reviewed</w:t>
            </w:r>
          </w:p>
        </w:tc>
        <w:tc>
          <w:tcPr>
            <w:tcW w:type="dxa" w:w="2880"/>
          </w:tcPr>
          <w:p>
            <w:r>
              <w:t>Purpose</w:t>
            </w:r>
          </w:p>
        </w:tc>
      </w:tr>
      <w:tr>
        <w:tc>
          <w:tcPr>
            <w:tcW w:type="dxa" w:w="2880"/>
          </w:tcPr>
          <w:p>
            <w:r>
              <w:t>Vendor inventory</w:t>
            </w:r>
          </w:p>
        </w:tc>
        <w:tc>
          <w:tcPr>
            <w:tcW w:type="dxa" w:w="2880"/>
          </w:tcPr>
          <w:p>
            <w:r>
              <w:t>Approved vendor list, procurement register, application inventory</w:t>
            </w:r>
          </w:p>
        </w:tc>
        <w:tc>
          <w:tcPr>
            <w:tcW w:type="dxa" w:w="2880"/>
          </w:tcPr>
          <w:p>
            <w:r>
              <w:t>Confirm completeness and ownership</w:t>
            </w:r>
          </w:p>
        </w:tc>
      </w:tr>
      <w:tr>
        <w:tc>
          <w:tcPr>
            <w:tcW w:type="dxa" w:w="2880"/>
          </w:tcPr>
          <w:p>
            <w:r>
              <w:t>Contracts</w:t>
            </w:r>
          </w:p>
        </w:tc>
        <w:tc>
          <w:tcPr>
            <w:tcW w:type="dxa" w:w="2880"/>
          </w:tcPr>
          <w:p>
            <w:r>
              <w:t>Master service agreements, order forms, data processing terms, security addenda</w:t>
            </w:r>
          </w:p>
        </w:tc>
        <w:tc>
          <w:tcPr>
            <w:tcW w:type="dxa" w:w="2880"/>
          </w:tcPr>
          <w:p>
            <w:r>
              <w:t>Confirm legal and security obligations</w:t>
            </w:r>
          </w:p>
        </w:tc>
      </w:tr>
      <w:tr>
        <w:tc>
          <w:tcPr>
            <w:tcW w:type="dxa" w:w="2880"/>
          </w:tcPr>
          <w:p>
            <w:r>
              <w:t>Security assurance materials</w:t>
            </w:r>
          </w:p>
        </w:tc>
        <w:tc>
          <w:tcPr>
            <w:tcW w:type="dxa" w:w="2880"/>
          </w:tcPr>
          <w:p>
            <w:r>
              <w:t>Independent assurance reports, security questionnaires, audit summaries</w:t>
            </w:r>
          </w:p>
        </w:tc>
        <w:tc>
          <w:tcPr>
            <w:tcW w:type="dxa" w:w="2880"/>
          </w:tcPr>
          <w:p>
            <w:r>
              <w:t>Evaluate vendor control environment</w:t>
            </w:r>
          </w:p>
        </w:tc>
      </w:tr>
      <w:tr>
        <w:tc>
          <w:tcPr>
            <w:tcW w:type="dxa" w:w="2880"/>
          </w:tcPr>
          <w:p>
            <w:r>
              <w:t>Access records</w:t>
            </w:r>
          </w:p>
        </w:tc>
        <w:tc>
          <w:tcPr>
            <w:tcW w:type="dxa" w:w="2880"/>
          </w:tcPr>
          <w:p>
            <w:r>
              <w:t>User access lists, service accounts, integration permissions</w:t>
            </w:r>
          </w:p>
        </w:tc>
        <w:tc>
          <w:tcPr>
            <w:tcW w:type="dxa" w:w="2880"/>
          </w:tcPr>
          <w:p>
            <w:r>
              <w:t>Confirm appropriate access level</w:t>
            </w:r>
          </w:p>
        </w:tc>
      </w:tr>
      <w:tr>
        <w:tc>
          <w:tcPr>
            <w:tcW w:type="dxa" w:w="2880"/>
          </w:tcPr>
          <w:p>
            <w:r>
              <w:t>Privacy and data documentation</w:t>
            </w:r>
          </w:p>
        </w:tc>
        <w:tc>
          <w:tcPr>
            <w:tcW w:type="dxa" w:w="2880"/>
          </w:tcPr>
          <w:p>
            <w:r>
              <w:t>Data processing agreements, retention notices, subprocessors list</w:t>
            </w:r>
          </w:p>
        </w:tc>
        <w:tc>
          <w:tcPr>
            <w:tcW w:type="dxa" w:w="2880"/>
          </w:tcPr>
          <w:p>
            <w:r>
              <w:t>Confirm data handling obligations</w:t>
            </w:r>
          </w:p>
        </w:tc>
      </w:tr>
      <w:tr>
        <w:tc>
          <w:tcPr>
            <w:tcW w:type="dxa" w:w="2880"/>
          </w:tcPr>
          <w:p>
            <w:r>
              <w:t>Operational documents</w:t>
            </w:r>
          </w:p>
        </w:tc>
        <w:tc>
          <w:tcPr>
            <w:tcW w:type="dxa" w:w="2880"/>
          </w:tcPr>
          <w:p>
            <w:r>
              <w:t>Status pages, uptime reports, service reviews, incident notices</w:t>
            </w:r>
          </w:p>
        </w:tc>
        <w:tc>
          <w:tcPr>
            <w:tcW w:type="dxa" w:w="2880"/>
          </w:tcPr>
          <w:p>
            <w:r>
              <w:t>Assess availability and reliability risks</w:t>
            </w:r>
          </w:p>
        </w:tc>
      </w:tr>
      <w:tr>
        <w:tc>
          <w:tcPr>
            <w:tcW w:type="dxa" w:w="2880"/>
          </w:tcPr>
          <w:p>
            <w:r>
              <w:t>Internal records</w:t>
            </w:r>
          </w:p>
        </w:tc>
        <w:tc>
          <w:tcPr>
            <w:tcW w:type="dxa" w:w="2880"/>
          </w:tcPr>
          <w:p>
            <w:r>
              <w:t>Risk acceptances, remediation tickets, approval records</w:t>
            </w:r>
          </w:p>
        </w:tc>
        <w:tc>
          <w:tcPr>
            <w:tcW w:type="dxa" w:w="2880"/>
          </w:tcPr>
          <w:p>
            <w:r>
              <w:t>Confirm management oversight</w:t>
            </w:r>
          </w:p>
        </w:tc>
      </w:tr>
    </w:tbl>
    <w:p>
      <w:pPr>
        <w:pStyle w:val="Heading3"/>
      </w:pPr>
      <w:r>
        <w:t>Rating Approach</w:t>
      </w:r>
    </w:p>
    <w:p>
      <w:r>
        <w:t>Findings were rated using the following severity model.</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Active or highly likely exposure that could materially affect customer data, production services, or contractual commitments</w:t>
            </w:r>
          </w:p>
        </w:tc>
        <w:tc>
          <w:tcPr>
            <w:tcW w:type="dxa" w:w="2880"/>
          </w:tcPr>
          <w:p>
            <w:r>
              <w:t>Immediate action and executive visibility</w:t>
            </w:r>
          </w:p>
        </w:tc>
      </w:tr>
      <w:tr>
        <w:tc>
          <w:tcPr>
            <w:tcW w:type="dxa" w:w="2880"/>
          </w:tcPr>
          <w:p>
            <w:r>
              <w:t>High</w:t>
            </w:r>
          </w:p>
        </w:tc>
        <w:tc>
          <w:tcPr>
            <w:tcW w:type="dxa" w:w="2880"/>
          </w:tcPr>
          <w:p>
            <w:r>
              <w:t>Significant control gap or contractual weakness affecting a Critical or High-risk vendor</w:t>
            </w:r>
          </w:p>
        </w:tc>
        <w:tc>
          <w:tcPr>
            <w:tcW w:type="dxa" w:w="2880"/>
          </w:tcPr>
          <w:p>
            <w:r>
              <w:t>Formal remediation plan with target completion date</w:t>
            </w:r>
          </w:p>
        </w:tc>
      </w:tr>
      <w:tr>
        <w:tc>
          <w:tcPr>
            <w:tcW w:type="dxa" w:w="2880"/>
          </w:tcPr>
          <w:p>
            <w:r>
              <w:t>Medium</w:t>
            </w:r>
          </w:p>
        </w:tc>
        <w:tc>
          <w:tcPr>
            <w:tcW w:type="dxa" w:w="2880"/>
          </w:tcPr>
          <w:p>
            <w:r>
              <w:t>Control weakness or evidence gap that may reduce oversight or audit readiness</w:t>
            </w:r>
          </w:p>
        </w:tc>
        <w:tc>
          <w:tcPr>
            <w:tcW w:type="dxa" w:w="2880"/>
          </w:tcPr>
          <w:p>
            <w:r>
              <w:t>Remediation through assigned action owner</w:t>
            </w:r>
          </w:p>
        </w:tc>
      </w:tr>
      <w:tr>
        <w:tc>
          <w:tcPr>
            <w:tcW w:type="dxa" w:w="2880"/>
          </w:tcPr>
          <w:p>
            <w:r>
              <w:t>Low</w:t>
            </w:r>
          </w:p>
        </w:tc>
        <w:tc>
          <w:tcPr>
            <w:tcW w:type="dxa" w:w="2880"/>
          </w:tcPr>
          <w:p>
            <w:r>
              <w:t>Administrative issue or documentation improvement with limited risk impact</w:t>
            </w:r>
          </w:p>
        </w:tc>
        <w:tc>
          <w:tcPr>
            <w:tcW w:type="dxa" w:w="2880"/>
          </w:tcPr>
          <w:p>
            <w:r>
              <w:t>Correct through routine process improvement</w:t>
            </w:r>
          </w:p>
        </w:tc>
      </w:tr>
    </w:tbl>
    <w:p>
      <w:pPr>
        <w:pStyle w:val="Heading3"/>
      </w:pPr>
      <w:r>
        <w:t>Limitations</w:t>
      </w:r>
    </w:p>
    <w:p>
      <w:r>
        <w:t>This report is based on documentation available at the time of review and interviews with relevant personnel. It does not independently test vendor systems, validate vendor-provided technical controls through direct inspection, or replace a legal review of all contractual terms. Where vendor assurance reports or questionnaires were used, the assessment relied on the accuracy and completeness of information provided by the vendor.</w:t>
      </w:r>
    </w:p>
    <w:p>
      <w:pPr>
        <w:pStyle w:val="Heading2"/>
      </w:pPr>
      <w:r>
        <w:t>Detailed Findings / Results (with structure)</w:t>
      </w:r>
    </w:p>
    <w:p>
      <w:pPr>
        <w:pStyle w:val="Heading3"/>
      </w:pPr>
      <w:r>
        <w:t>Finding VR-001 - Vendor Inventory Records Are Not Fully 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Affected Vendors</w:t>
            </w:r>
          </w:p>
        </w:tc>
        <w:tc>
          <w:tcPr>
            <w:tcW w:type="dxa" w:w="4320"/>
          </w:tcPr>
          <w:p>
            <w:r>
              <w:t>[Vendor Names / Categories]</w:t>
            </w:r>
          </w:p>
        </w:tc>
      </w:tr>
      <w:tr>
        <w:tc>
          <w:tcPr>
            <w:tcW w:type="dxa" w:w="4320"/>
          </w:tcPr>
          <w:p>
            <w:r>
              <w:t>Risk Area</w:t>
            </w:r>
          </w:p>
        </w:tc>
        <w:tc>
          <w:tcPr>
            <w:tcW w:type="dxa" w:w="4320"/>
          </w:tcPr>
          <w:p>
            <w:r>
              <w:t>Vendor inventory and oversight</w:t>
            </w:r>
          </w:p>
        </w:tc>
      </w:tr>
      <w:tr>
        <w:tc>
          <w:tcPr>
            <w:tcW w:type="dxa" w:w="4320"/>
          </w:tcPr>
          <w:p>
            <w:r>
              <w:t>Status</w:t>
            </w:r>
          </w:p>
        </w:tc>
        <w:tc>
          <w:tcPr>
            <w:tcW w:type="dxa" w:w="4320"/>
          </w:tcPr>
          <w:p>
            <w:r>
              <w:t>Open</w:t>
            </w:r>
          </w:p>
        </w:tc>
      </w:tr>
      <w:tr>
        <w:tc>
          <w:tcPr>
            <w:tcW w:type="dxa" w:w="4320"/>
          </w:tcPr>
          <w:p>
            <w:r>
              <w:t>Owner</w:t>
            </w:r>
          </w:p>
        </w:tc>
        <w:tc>
          <w:tcPr>
            <w:tcW w:type="dxa" w:w="4320"/>
          </w:tcPr>
          <w:p>
            <w:r>
              <w:t>[Action Owner]</w:t>
            </w:r>
          </w:p>
        </w:tc>
      </w:tr>
      <w:tr>
        <w:tc>
          <w:tcPr>
            <w:tcW w:type="dxa" w:w="4320"/>
          </w:tcPr>
          <w:p>
            <w:r>
              <w:t>Target Date</w:t>
            </w:r>
          </w:p>
        </w:tc>
        <w:tc>
          <w:tcPr>
            <w:tcW w:type="dxa" w:w="4320"/>
          </w:tcPr>
          <w:p>
            <w:r>
              <w:t>[Target Date]</w:t>
            </w:r>
          </w:p>
        </w:tc>
      </w:tr>
    </w:tbl>
    <w:p>
      <w:r>
        <w:t>Observation: The organisation maintains a vendor inventory; however, several entries do not include all required risk management attributes. Missing fields include business owner, data classification, access type, reassessment date, contract owner, and evidence repository location.</w:t>
      </w:r>
    </w:p>
    <w:p>
      <w:r>
        <w:t>Evidence Reviewed:</w:t>
      </w:r>
    </w:p>
    <w:p>
      <w:pPr>
        <w:pStyle w:val="ListBullet"/>
      </w:pPr>
      <w:r>
        <w:t>Vendor inventory dated [Date].</w:t>
      </w:r>
    </w:p>
    <w:p>
      <w:pPr>
        <w:pStyle w:val="ListBullet"/>
      </w:pPr>
      <w:r>
        <w:t>Procurement export dated [Date].</w:t>
      </w:r>
    </w:p>
    <w:p>
      <w:pPr>
        <w:pStyle w:val="ListBullet"/>
      </w:pPr>
      <w:r>
        <w:t>Application inventory dated [Date].</w:t>
      </w:r>
    </w:p>
    <w:p>
      <w:pPr>
        <w:pStyle w:val="ListBullet"/>
      </w:pPr>
      <w:r>
        <w:t>Business owner confirmations from [Teams].</w:t>
      </w:r>
    </w:p>
    <w:p>
      <w:r>
        <w:t>Risk: Incomplete inventory records may cause vendors with access to sensitive data or systems to be omitted from review, reassessment, monitoring, contract review, or offboarding. This may weaken oversight of sub-service organisation risk and reduce the organisation’s ability to demonstrate consistent vendor governance.</w:t>
      </w:r>
    </w:p>
    <w:p>
      <w:r>
        <w:t>Root Cause: Vendor inventory maintenance is distributed across procurement, security, legal, finance, and business teams without a clearly enforced minimum data standard or automated reconciliation process.</w:t>
      </w:r>
    </w:p>
    <w:p>
      <w:r>
        <w:t>Impact:</w:t>
      </w:r>
    </w:p>
    <w:p>
      <w:pPr>
        <w:pStyle w:val="ListBullet"/>
      </w:pPr>
      <w:r>
        <w:t>Risk tiering may be inaccurate or outdated.</w:t>
      </w:r>
    </w:p>
    <w:p>
      <w:pPr>
        <w:pStyle w:val="ListBullet"/>
      </w:pPr>
      <w:r>
        <w:t>Vendor reviews may be missed.</w:t>
      </w:r>
    </w:p>
    <w:p>
      <w:pPr>
        <w:pStyle w:val="ListBullet"/>
      </w:pPr>
      <w:r>
        <w:t>Contractual and security evidence may not be retrievable during audit.</w:t>
      </w:r>
    </w:p>
    <w:p>
      <w:pPr>
        <w:pStyle w:val="ListBullet"/>
      </w:pPr>
      <w:r>
        <w:t>Ownership for remediation or incident escalation may be unclear.</w:t>
      </w:r>
    </w:p>
    <w:p>
      <w:r>
        <w:t>Management Response: Management agrees with the finding. The vendor inventory will be updated to include mandatory fields and will be reconciled quarterly against procurement, finance, and application inventory records.</w:t>
      </w:r>
    </w:p>
    <w:p>
      <w:r>
        <w:t>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Define mandatory vendor inventory fields</w:t>
            </w:r>
          </w:p>
        </w:tc>
        <w:tc>
          <w:tcPr>
            <w:tcW w:type="dxa" w:w="2160"/>
          </w:tcPr>
          <w:p>
            <w:r>
              <w:t>[Owner]</w:t>
            </w:r>
          </w:p>
        </w:tc>
        <w:tc>
          <w:tcPr>
            <w:tcW w:type="dxa" w:w="2160"/>
          </w:tcPr>
          <w:p>
            <w:r>
              <w:t>[Date]</w:t>
            </w:r>
          </w:p>
        </w:tc>
        <w:tc>
          <w:tcPr>
            <w:tcW w:type="dxa" w:w="2160"/>
          </w:tcPr>
          <w:p>
            <w:r>
              <w:t>Not Started</w:t>
            </w:r>
          </w:p>
        </w:tc>
      </w:tr>
      <w:tr>
        <w:tc>
          <w:tcPr>
            <w:tcW w:type="dxa" w:w="2160"/>
          </w:tcPr>
          <w:p>
            <w:r>
              <w:t>Update existing vendor records for missing fields</w:t>
            </w:r>
          </w:p>
        </w:tc>
        <w:tc>
          <w:tcPr>
            <w:tcW w:type="dxa" w:w="2160"/>
          </w:tcPr>
          <w:p>
            <w:r>
              <w:t>[Owner]</w:t>
            </w:r>
          </w:p>
        </w:tc>
        <w:tc>
          <w:tcPr>
            <w:tcW w:type="dxa" w:w="2160"/>
          </w:tcPr>
          <w:p>
            <w:r>
              <w:t>[Date]</w:t>
            </w:r>
          </w:p>
        </w:tc>
        <w:tc>
          <w:tcPr>
            <w:tcW w:type="dxa" w:w="2160"/>
          </w:tcPr>
          <w:p>
            <w:r>
              <w:t>Not Started</w:t>
            </w:r>
          </w:p>
        </w:tc>
      </w:tr>
      <w:tr>
        <w:tc>
          <w:tcPr>
            <w:tcW w:type="dxa" w:w="2160"/>
          </w:tcPr>
          <w:p>
            <w:r>
              <w:t>Reconcile vendor list against procurement and finance records</w:t>
            </w:r>
          </w:p>
        </w:tc>
        <w:tc>
          <w:tcPr>
            <w:tcW w:type="dxa" w:w="2160"/>
          </w:tcPr>
          <w:p>
            <w:r>
              <w:t>[Owner]</w:t>
            </w:r>
          </w:p>
        </w:tc>
        <w:tc>
          <w:tcPr>
            <w:tcW w:type="dxa" w:w="2160"/>
          </w:tcPr>
          <w:p>
            <w:r>
              <w:t>[Date]</w:t>
            </w:r>
          </w:p>
        </w:tc>
        <w:tc>
          <w:tcPr>
            <w:tcW w:type="dxa" w:w="2160"/>
          </w:tcPr>
          <w:p>
            <w:r>
              <w:t>Not Started</w:t>
            </w:r>
          </w:p>
        </w:tc>
      </w:tr>
      <w:tr>
        <w:tc>
          <w:tcPr>
            <w:tcW w:type="dxa" w:w="2160"/>
          </w:tcPr>
          <w:p>
            <w:r>
              <w:t>Implement quarterly vendor inventory review</w:t>
            </w:r>
          </w:p>
        </w:tc>
        <w:tc>
          <w:tcPr>
            <w:tcW w:type="dxa" w:w="2160"/>
          </w:tcPr>
          <w:p>
            <w:r>
              <w:t>[Owner]</w:t>
            </w:r>
          </w:p>
        </w:tc>
        <w:tc>
          <w:tcPr>
            <w:tcW w:type="dxa" w:w="2160"/>
          </w:tcPr>
          <w:p>
            <w:r>
              <w:t>[Date]</w:t>
            </w:r>
          </w:p>
        </w:tc>
        <w:tc>
          <w:tcPr>
            <w:tcW w:type="dxa" w:w="2160"/>
          </w:tcPr>
          <w:p>
            <w:r>
              <w:t>Not Started</w:t>
            </w:r>
          </w:p>
        </w:tc>
      </w:tr>
    </w:tbl>
    <w:p>
      <w:r>
        <w:t>---</w:t>
      </w:r>
    </w:p>
    <w:p>
      <w:pPr>
        <w:pStyle w:val="Heading3"/>
      </w:pPr>
      <w:r>
        <w:t>Finding VR-002 - Contractual Security Terms Are Inconsistent Across Vendors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High</w:t>
            </w:r>
          </w:p>
        </w:tc>
      </w:tr>
      <w:tr>
        <w:tc>
          <w:tcPr>
            <w:tcW w:type="dxa" w:w="4320"/>
          </w:tcPr>
          <w:p>
            <w:r>
              <w:t>Affected Vendors</w:t>
            </w:r>
          </w:p>
        </w:tc>
        <w:tc>
          <w:tcPr>
            <w:tcW w:type="dxa" w:w="4320"/>
          </w:tcPr>
          <w:p>
            <w:r>
              <w:t>[Vendor Names / Categories]</w:t>
            </w:r>
          </w:p>
        </w:tc>
      </w:tr>
      <w:tr>
        <w:tc>
          <w:tcPr>
            <w:tcW w:type="dxa" w:w="4320"/>
          </w:tcPr>
          <w:p>
            <w:r>
              <w:t>Risk Area</w:t>
            </w:r>
          </w:p>
        </w:tc>
        <w:tc>
          <w:tcPr>
            <w:tcW w:type="dxa" w:w="4320"/>
          </w:tcPr>
          <w:p>
            <w:r>
              <w:t>Contractual risk mitigation</w:t>
            </w:r>
          </w:p>
        </w:tc>
      </w:tr>
      <w:tr>
        <w:tc>
          <w:tcPr>
            <w:tcW w:type="dxa" w:w="4320"/>
          </w:tcPr>
          <w:p>
            <w:r>
              <w:t>Status</w:t>
            </w:r>
          </w:p>
        </w:tc>
        <w:tc>
          <w:tcPr>
            <w:tcW w:type="dxa" w:w="4320"/>
          </w:tcPr>
          <w:p>
            <w:r>
              <w:t>Open</w:t>
            </w:r>
          </w:p>
        </w:tc>
      </w:tr>
      <w:tr>
        <w:tc>
          <w:tcPr>
            <w:tcW w:type="dxa" w:w="4320"/>
          </w:tcPr>
          <w:p>
            <w:r>
              <w:t>Owner</w:t>
            </w:r>
          </w:p>
        </w:tc>
        <w:tc>
          <w:tcPr>
            <w:tcW w:type="dxa" w:w="4320"/>
          </w:tcPr>
          <w:p>
            <w:r>
              <w:t>[Legal / Procurement Owner]</w:t>
            </w:r>
          </w:p>
        </w:tc>
      </w:tr>
      <w:tr>
        <w:tc>
          <w:tcPr>
            <w:tcW w:type="dxa" w:w="4320"/>
          </w:tcPr>
          <w:p>
            <w:r>
              <w:t>Target Date</w:t>
            </w:r>
          </w:p>
        </w:tc>
        <w:tc>
          <w:tcPr>
            <w:tcW w:type="dxa" w:w="4320"/>
          </w:tcPr>
          <w:p>
            <w:r>
              <w:t>[Target Date]</w:t>
            </w:r>
          </w:p>
        </w:tc>
      </w:tr>
    </w:tbl>
    <w:p>
      <w:r>
        <w:t>Observation: Contracts for several vendors do not consistently include security and data protection terms appropriate to the vendor’s risk tier. Common gaps include breach notification timing, minimum security obligations, confidentiality requirements, subcontractor notification, audit or assurance rights, data return or deletion on termination, and service availability commitments.</w:t>
      </w:r>
    </w:p>
    <w:p>
      <w:r>
        <w:t>Evidence Reviewed:</w:t>
      </w:r>
    </w:p>
    <w:p>
      <w:pPr>
        <w:pStyle w:val="ListBullet"/>
      </w:pPr>
      <w:r>
        <w:t>Master service agreements.</w:t>
      </w:r>
    </w:p>
    <w:p>
      <w:pPr>
        <w:pStyle w:val="ListBullet"/>
      </w:pPr>
      <w:r>
        <w:t>Data processing terms.</w:t>
      </w:r>
    </w:p>
    <w:p>
      <w:pPr>
        <w:pStyle w:val="ListBullet"/>
      </w:pPr>
      <w:r>
        <w:t>Order forms.</w:t>
      </w:r>
    </w:p>
    <w:p>
      <w:pPr>
        <w:pStyle w:val="ListBullet"/>
      </w:pPr>
      <w:r>
        <w:t>Security addenda.</w:t>
      </w:r>
    </w:p>
    <w:p>
      <w:pPr>
        <w:pStyle w:val="ListBullet"/>
      </w:pPr>
      <w:r>
        <w:t>Renewal documents.</w:t>
      </w:r>
    </w:p>
    <w:p>
      <w:r>
        <w:t>Risk: Without clear contractual obligations, the organisation may have limited ability to require timely incident notification, obtain security evidence, confirm data deletion, enforce confidentiality requirements, or manage downstream subcontractor risk.</w:t>
      </w:r>
    </w:p>
    <w:p>
      <w:r>
        <w:t>Root Cause: Older contracts were executed before current security review expectations were established. Renewal and contract review processes do not consistently require security and privacy review for all risk-tiered vendors.</w:t>
      </w:r>
    </w:p>
    <w:p>
      <w:r>
        <w:t>Impact:</w:t>
      </w:r>
    </w:p>
    <w:p>
      <w:pPr>
        <w:pStyle w:val="ListBullet"/>
      </w:pPr>
      <w:r>
        <w:t>Increased reliance on informal vendor cooperation.</w:t>
      </w:r>
    </w:p>
    <w:p>
      <w:pPr>
        <w:pStyle w:val="ListBullet"/>
      </w:pPr>
      <w:r>
        <w:t>Reduced ability to enforce security expectations.</w:t>
      </w:r>
    </w:p>
    <w:p>
      <w:pPr>
        <w:pStyle w:val="ListBullet"/>
      </w:pPr>
      <w:r>
        <w:t>Potential delays in incident notification.</w:t>
      </w:r>
    </w:p>
    <w:p>
      <w:pPr>
        <w:pStyle w:val="ListBullet"/>
      </w:pPr>
      <w:r>
        <w:t>Weakened ability to demonstrate vendor accountability.</w:t>
      </w:r>
    </w:p>
    <w:p>
      <w:r>
        <w:t>Management Response: Management agrees that vendor contract language should be standardized based on risk tier. Legal, Security, and Procurement will develop required security terms and apply them to new contracts and renewals.</w:t>
      </w:r>
    </w:p>
    <w:p>
      <w:r>
        <w:t>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Define minimum security and privacy contract terms by vendor tier</w:t>
            </w:r>
          </w:p>
        </w:tc>
        <w:tc>
          <w:tcPr>
            <w:tcW w:type="dxa" w:w="2160"/>
          </w:tcPr>
          <w:p>
            <w:r>
              <w:t>[Owner]</w:t>
            </w:r>
          </w:p>
        </w:tc>
        <w:tc>
          <w:tcPr>
            <w:tcW w:type="dxa" w:w="2160"/>
          </w:tcPr>
          <w:p>
            <w:r>
              <w:t>[Date]</w:t>
            </w:r>
          </w:p>
        </w:tc>
        <w:tc>
          <w:tcPr>
            <w:tcW w:type="dxa" w:w="2160"/>
          </w:tcPr>
          <w:p>
            <w:r>
              <w:t>Not Started</w:t>
            </w:r>
          </w:p>
        </w:tc>
      </w:tr>
      <w:tr>
        <w:tc>
          <w:tcPr>
            <w:tcW w:type="dxa" w:w="2160"/>
          </w:tcPr>
          <w:p>
            <w:r>
              <w:t>Identify Critical and High-risk contracts missing required terms</w:t>
            </w:r>
          </w:p>
        </w:tc>
        <w:tc>
          <w:tcPr>
            <w:tcW w:type="dxa" w:w="2160"/>
          </w:tcPr>
          <w:p>
            <w:r>
              <w:t>[Owner]</w:t>
            </w:r>
          </w:p>
        </w:tc>
        <w:tc>
          <w:tcPr>
            <w:tcW w:type="dxa" w:w="2160"/>
          </w:tcPr>
          <w:p>
            <w:r>
              <w:t>[Date]</w:t>
            </w:r>
          </w:p>
        </w:tc>
        <w:tc>
          <w:tcPr>
            <w:tcW w:type="dxa" w:w="2160"/>
          </w:tcPr>
          <w:p>
            <w:r>
              <w:t>In Progress</w:t>
            </w:r>
          </w:p>
        </w:tc>
      </w:tr>
      <w:tr>
        <w:tc>
          <w:tcPr>
            <w:tcW w:type="dxa" w:w="2160"/>
          </w:tcPr>
          <w:p>
            <w:r>
              <w:t>Prioritize amendments or renewal updates for affected vendors</w:t>
            </w:r>
          </w:p>
        </w:tc>
        <w:tc>
          <w:tcPr>
            <w:tcW w:type="dxa" w:w="2160"/>
          </w:tcPr>
          <w:p>
            <w:r>
              <w:t>[Owner]</w:t>
            </w:r>
          </w:p>
        </w:tc>
        <w:tc>
          <w:tcPr>
            <w:tcW w:type="dxa" w:w="2160"/>
          </w:tcPr>
          <w:p>
            <w:r>
              <w:t>[Date]</w:t>
            </w:r>
          </w:p>
        </w:tc>
        <w:tc>
          <w:tcPr>
            <w:tcW w:type="dxa" w:w="2160"/>
          </w:tcPr>
          <w:p>
            <w:r>
              <w:t>Not Started</w:t>
            </w:r>
          </w:p>
        </w:tc>
      </w:tr>
      <w:tr>
        <w:tc>
          <w:tcPr>
            <w:tcW w:type="dxa" w:w="2160"/>
          </w:tcPr>
          <w:p>
            <w:r>
              <w:t>Add security review checkpoint to renewal workflow</w:t>
            </w:r>
          </w:p>
        </w:tc>
        <w:tc>
          <w:tcPr>
            <w:tcW w:type="dxa" w:w="2160"/>
          </w:tcPr>
          <w:p>
            <w:r>
              <w:t>[Owner]</w:t>
            </w:r>
          </w:p>
        </w:tc>
        <w:tc>
          <w:tcPr>
            <w:tcW w:type="dxa" w:w="2160"/>
          </w:tcPr>
          <w:p>
            <w:r>
              <w:t>[Date]</w:t>
            </w:r>
          </w:p>
        </w:tc>
        <w:tc>
          <w:tcPr>
            <w:tcW w:type="dxa" w:w="2160"/>
          </w:tcPr>
          <w:p>
            <w:r>
              <w:t>Not Started</w:t>
            </w:r>
          </w:p>
        </w:tc>
      </w:tr>
    </w:tbl>
    <w:p>
      <w:r>
        <w:t>---</w:t>
      </w:r>
    </w:p>
    <w:p>
      <w:pPr>
        <w:pStyle w:val="Heading3"/>
      </w:pPr>
      <w:r>
        <w:t>Finding VR-003 - Ongoing Monitoring Is Not Consistently Performed for High and Medium-Risk Vendors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Affected Vendors</w:t>
            </w:r>
          </w:p>
        </w:tc>
        <w:tc>
          <w:tcPr>
            <w:tcW w:type="dxa" w:w="4320"/>
          </w:tcPr>
          <w:p>
            <w:r>
              <w:t>[Vendor Names / Categories]</w:t>
            </w:r>
          </w:p>
        </w:tc>
      </w:tr>
      <w:tr>
        <w:tc>
          <w:tcPr>
            <w:tcW w:type="dxa" w:w="4320"/>
          </w:tcPr>
          <w:p>
            <w:r>
              <w:t>Risk Area</w:t>
            </w:r>
          </w:p>
        </w:tc>
        <w:tc>
          <w:tcPr>
            <w:tcW w:type="dxa" w:w="4320"/>
          </w:tcPr>
          <w:p>
            <w:r>
              <w:t>Ongoing vendor monitoring</w:t>
            </w:r>
          </w:p>
        </w:tc>
      </w:tr>
      <w:tr>
        <w:tc>
          <w:tcPr>
            <w:tcW w:type="dxa" w:w="4320"/>
          </w:tcPr>
          <w:p>
            <w:r>
              <w:t>Status</w:t>
            </w:r>
          </w:p>
        </w:tc>
        <w:tc>
          <w:tcPr>
            <w:tcW w:type="dxa" w:w="4320"/>
          </w:tcPr>
          <w:p>
            <w:r>
              <w:t>Open</w:t>
            </w:r>
          </w:p>
        </w:tc>
      </w:tr>
      <w:tr>
        <w:tc>
          <w:tcPr>
            <w:tcW w:type="dxa" w:w="4320"/>
          </w:tcPr>
          <w:p>
            <w:r>
              <w:t>Owner</w:t>
            </w:r>
          </w:p>
        </w:tc>
        <w:tc>
          <w:tcPr>
            <w:tcW w:type="dxa" w:w="4320"/>
          </w:tcPr>
          <w:p>
            <w:r>
              <w:t>[Vendor Risk Owner]</w:t>
            </w:r>
          </w:p>
        </w:tc>
      </w:tr>
      <w:tr>
        <w:tc>
          <w:tcPr>
            <w:tcW w:type="dxa" w:w="4320"/>
          </w:tcPr>
          <w:p>
            <w:r>
              <w:t>Target Date</w:t>
            </w:r>
          </w:p>
        </w:tc>
        <w:tc>
          <w:tcPr>
            <w:tcW w:type="dxa" w:w="4320"/>
          </w:tcPr>
          <w:p>
            <w:r>
              <w:t>[Target Date]</w:t>
            </w:r>
          </w:p>
        </w:tc>
      </w:tr>
    </w:tbl>
    <w:p>
      <w:r>
        <w:t>Observation: Critical vendors are generally monitored through annual evidence updates and review of assurance materials. High and Medium-risk vendors are not consistently reassessed according to documented risk frequency. In some cases, updated security documentation was not obtained, vendor status changes were not reviewed, or reassessment records were missing.</w:t>
      </w:r>
    </w:p>
    <w:p>
      <w:r>
        <w:t>Evidence Reviewed:</w:t>
      </w:r>
    </w:p>
    <w:p>
      <w:pPr>
        <w:pStyle w:val="ListBullet"/>
      </w:pPr>
      <w:r>
        <w:t>Vendor reassessment tracker.</w:t>
      </w:r>
    </w:p>
    <w:p>
      <w:pPr>
        <w:pStyle w:val="ListBullet"/>
      </w:pPr>
      <w:r>
        <w:t>Assurance reports.</w:t>
      </w:r>
    </w:p>
    <w:p>
      <w:pPr>
        <w:pStyle w:val="ListBullet"/>
      </w:pPr>
      <w:r>
        <w:t>Vendor security portals.</w:t>
      </w:r>
    </w:p>
    <w:p>
      <w:pPr>
        <w:pStyle w:val="ListBullet"/>
      </w:pPr>
      <w:r>
        <w:t>Status page subscriptions.</w:t>
      </w:r>
    </w:p>
    <w:p>
      <w:pPr>
        <w:pStyle w:val="ListBullet"/>
      </w:pPr>
      <w:r>
        <w:t>Vendor review meeting notes.</w:t>
      </w:r>
    </w:p>
    <w:p>
      <w:r>
        <w:t>Risk: Vendor risk posture may change due to new services, security incidents, acquisitions, infrastructure changes, new subcontractors, or control weaknesses. Without periodic monitoring, the organisation may not identify changes that affect service commitments, customer data, or operational resilience.</w:t>
      </w:r>
    </w:p>
    <w:p>
      <w:r>
        <w:t>Root Cause: Monitoring activities are performed manually and depend heavily on individual business owners. There is no automated reminder, centralized evidence workflow, or documented exception process for overdue reassessments.</w:t>
      </w:r>
    </w:p>
    <w:p>
      <w:r>
        <w:t>Impact:</w:t>
      </w:r>
    </w:p>
    <w:p>
      <w:pPr>
        <w:pStyle w:val="ListBullet"/>
      </w:pPr>
      <w:r>
        <w:t>Increased risk of outdated assurance evidence.</w:t>
      </w:r>
    </w:p>
    <w:p>
      <w:pPr>
        <w:pStyle w:val="ListBullet"/>
      </w:pPr>
      <w:r>
        <w:t>Reduced visibility into vendor security changes.</w:t>
      </w:r>
    </w:p>
    <w:p>
      <w:pPr>
        <w:pStyle w:val="ListBullet"/>
      </w:pPr>
      <w:r>
        <w:t>Potential audit evidence gaps.</w:t>
      </w:r>
    </w:p>
    <w:p>
      <w:pPr>
        <w:pStyle w:val="ListBullet"/>
      </w:pPr>
      <w:r>
        <w:t>Delayed identification of emerging vendor risks.</w:t>
      </w:r>
    </w:p>
    <w:p>
      <w:r>
        <w:t>Management Response: Management agrees with the finding. The vendor risk function will implement automated reassessment reminders and escalation for overdue reviews.</w:t>
      </w:r>
    </w:p>
    <w:p>
      <w:r>
        <w:t>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Establish reassessment cadence by vendor tier</w:t>
            </w:r>
          </w:p>
        </w:tc>
        <w:tc>
          <w:tcPr>
            <w:tcW w:type="dxa" w:w="2160"/>
          </w:tcPr>
          <w:p>
            <w:r>
              <w:t>[Owner]</w:t>
            </w:r>
          </w:p>
        </w:tc>
        <w:tc>
          <w:tcPr>
            <w:tcW w:type="dxa" w:w="2160"/>
          </w:tcPr>
          <w:p>
            <w:r>
              <w:t>[Date]</w:t>
            </w:r>
          </w:p>
        </w:tc>
        <w:tc>
          <w:tcPr>
            <w:tcW w:type="dxa" w:w="2160"/>
          </w:tcPr>
          <w:p>
            <w:r>
              <w:t>Complete</w:t>
            </w:r>
          </w:p>
        </w:tc>
      </w:tr>
      <w:tr>
        <w:tc>
          <w:tcPr>
            <w:tcW w:type="dxa" w:w="2160"/>
          </w:tcPr>
          <w:p>
            <w:r>
              <w:t>Configure reminder and escalation workflow</w:t>
            </w:r>
          </w:p>
        </w:tc>
        <w:tc>
          <w:tcPr>
            <w:tcW w:type="dxa" w:w="2160"/>
          </w:tcPr>
          <w:p>
            <w:r>
              <w:t>[Owner]</w:t>
            </w:r>
          </w:p>
        </w:tc>
        <w:tc>
          <w:tcPr>
            <w:tcW w:type="dxa" w:w="2160"/>
          </w:tcPr>
          <w:p>
            <w:r>
              <w:t>[Date]</w:t>
            </w:r>
          </w:p>
        </w:tc>
        <w:tc>
          <w:tcPr>
            <w:tcW w:type="dxa" w:w="2160"/>
          </w:tcPr>
          <w:p>
            <w:r>
              <w:t>Not Started</w:t>
            </w:r>
          </w:p>
        </w:tc>
      </w:tr>
      <w:tr>
        <w:tc>
          <w:tcPr>
            <w:tcW w:type="dxa" w:w="2160"/>
          </w:tcPr>
          <w:p>
            <w:r>
              <w:t>Perform overdue reassessments for High-risk vendors</w:t>
            </w:r>
          </w:p>
        </w:tc>
        <w:tc>
          <w:tcPr>
            <w:tcW w:type="dxa" w:w="2160"/>
          </w:tcPr>
          <w:p>
            <w:r>
              <w:t>[Owner]</w:t>
            </w:r>
          </w:p>
        </w:tc>
        <w:tc>
          <w:tcPr>
            <w:tcW w:type="dxa" w:w="2160"/>
          </w:tcPr>
          <w:p>
            <w:r>
              <w:t>[Date]</w:t>
            </w:r>
          </w:p>
        </w:tc>
        <w:tc>
          <w:tcPr>
            <w:tcW w:type="dxa" w:w="2160"/>
          </w:tcPr>
          <w:p>
            <w:r>
              <w:t>In Progress</w:t>
            </w:r>
          </w:p>
        </w:tc>
      </w:tr>
      <w:tr>
        <w:tc>
          <w:tcPr>
            <w:tcW w:type="dxa" w:w="2160"/>
          </w:tcPr>
          <w:p>
            <w:r>
              <w:t>Track monitoring evidence in centralized repository</w:t>
            </w:r>
          </w:p>
        </w:tc>
        <w:tc>
          <w:tcPr>
            <w:tcW w:type="dxa" w:w="2160"/>
          </w:tcPr>
          <w:p>
            <w:r>
              <w:t>[Owner]</w:t>
            </w:r>
          </w:p>
        </w:tc>
        <w:tc>
          <w:tcPr>
            <w:tcW w:type="dxa" w:w="2160"/>
          </w:tcPr>
          <w:p>
            <w:r>
              <w:t>[Date]</w:t>
            </w:r>
          </w:p>
        </w:tc>
        <w:tc>
          <w:tcPr>
            <w:tcW w:type="dxa" w:w="2160"/>
          </w:tcPr>
          <w:p>
            <w:r>
              <w:t>Not Started</w:t>
            </w:r>
          </w:p>
        </w:tc>
      </w:tr>
    </w:tbl>
    <w:p>
      <w:r>
        <w:t>---</w:t>
      </w:r>
    </w:p>
    <w:p>
      <w:pPr>
        <w:pStyle w:val="Heading3"/>
      </w:pPr>
      <w:r>
        <w:t>Finding VR-004 - Vendor Offboarding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Affected Vendors</w:t>
            </w:r>
          </w:p>
        </w:tc>
        <w:tc>
          <w:tcPr>
            <w:tcW w:type="dxa" w:w="4320"/>
          </w:tcPr>
          <w:p>
            <w:r>
              <w:t>[Former Vendor Names / Categories]</w:t>
            </w:r>
          </w:p>
        </w:tc>
      </w:tr>
      <w:tr>
        <w:tc>
          <w:tcPr>
            <w:tcW w:type="dxa" w:w="4320"/>
          </w:tcPr>
          <w:p>
            <w:r>
              <w:t>Risk Area</w:t>
            </w:r>
          </w:p>
        </w:tc>
        <w:tc>
          <w:tcPr>
            <w:tcW w:type="dxa" w:w="4320"/>
          </w:tcPr>
          <w:p>
            <w:r>
              <w:t>Vendor termination and access removal</w:t>
            </w:r>
          </w:p>
        </w:tc>
      </w:tr>
      <w:tr>
        <w:tc>
          <w:tcPr>
            <w:tcW w:type="dxa" w:w="4320"/>
          </w:tcPr>
          <w:p>
            <w:r>
              <w:t>Status</w:t>
            </w:r>
          </w:p>
        </w:tc>
        <w:tc>
          <w:tcPr>
            <w:tcW w:type="dxa" w:w="4320"/>
          </w:tcPr>
          <w:p>
            <w:r>
              <w:t>Open</w:t>
            </w:r>
          </w:p>
        </w:tc>
      </w:tr>
      <w:tr>
        <w:tc>
          <w:tcPr>
            <w:tcW w:type="dxa" w:w="4320"/>
          </w:tcPr>
          <w:p>
            <w:r>
              <w:t>Owner</w:t>
            </w:r>
          </w:p>
        </w:tc>
        <w:tc>
          <w:tcPr>
            <w:tcW w:type="dxa" w:w="4320"/>
          </w:tcPr>
          <w:p>
            <w:r>
              <w:t>[IT / Procurement Owner]</w:t>
            </w:r>
          </w:p>
        </w:tc>
      </w:tr>
      <w:tr>
        <w:tc>
          <w:tcPr>
            <w:tcW w:type="dxa" w:w="4320"/>
          </w:tcPr>
          <w:p>
            <w:r>
              <w:t>Target Date</w:t>
            </w:r>
          </w:p>
        </w:tc>
        <w:tc>
          <w:tcPr>
            <w:tcW w:type="dxa" w:w="4320"/>
          </w:tcPr>
          <w:p>
            <w:r>
              <w:t>[Target Date]</w:t>
            </w:r>
          </w:p>
        </w:tc>
      </w:tr>
    </w:tbl>
    <w:p>
      <w:r>
        <w:t>Observation: For vendors terminated during the reporting period, evidence of access removal and data return or deletion was not consistently retained. Access removal appears to have been completed in most cases, but supporting records were incomplete or stored across multiple systems.</w:t>
      </w:r>
    </w:p>
    <w:p>
      <w:r>
        <w:t>Evidence Reviewed:</w:t>
      </w:r>
    </w:p>
    <w:p>
      <w:pPr>
        <w:pStyle w:val="ListBullet"/>
      </w:pPr>
      <w:r>
        <w:t>Terminated vendor list.</w:t>
      </w:r>
    </w:p>
    <w:p>
      <w:pPr>
        <w:pStyle w:val="ListBullet"/>
      </w:pPr>
      <w:r>
        <w:t>Access management tickets.</w:t>
      </w:r>
    </w:p>
    <w:p>
      <w:pPr>
        <w:pStyle w:val="ListBullet"/>
      </w:pPr>
      <w:r>
        <w:t>Contract termination notices.</w:t>
      </w:r>
    </w:p>
    <w:p>
      <w:pPr>
        <w:pStyle w:val="ListBullet"/>
      </w:pPr>
      <w:r>
        <w:t>Vendor correspondence.</w:t>
      </w:r>
    </w:p>
    <w:p>
      <w:pPr>
        <w:pStyle w:val="ListBullet"/>
      </w:pPr>
      <w:r>
        <w:t>Data deletion confirmations.</w:t>
      </w:r>
    </w:p>
    <w:p>
      <w:r>
        <w:t>Risk: If offboarding evidence is incomplete, the organisation may be unable to confirm that vendor access was removed, integrations were disabled, service accounts were deactivated, and retained data was returned or deleted. This may leave residual exposure after a vendor relationship ends.</w:t>
      </w:r>
    </w:p>
    <w:p>
      <w:r>
        <w:t>Root Cause: Vendor offboarding is not consistently triggered by procurement termination or contract expiration. Evidence retention responsibilities are not clearly assigned between business owners, IT, procurement, and legal.</w:t>
      </w:r>
    </w:p>
    <w:p>
      <w:r>
        <w:t>Impact:</w:t>
      </w:r>
    </w:p>
    <w:p>
      <w:pPr>
        <w:pStyle w:val="ListBullet"/>
      </w:pPr>
      <w:r>
        <w:t>Potential lingering access to systems or data.</w:t>
      </w:r>
    </w:p>
    <w:p>
      <w:pPr>
        <w:pStyle w:val="ListBullet"/>
      </w:pPr>
      <w:r>
        <w:t>Difficulty demonstrating termination controls.</w:t>
      </w:r>
    </w:p>
    <w:p>
      <w:pPr>
        <w:pStyle w:val="ListBullet"/>
      </w:pPr>
      <w:r>
        <w:t>Increased risk of data retained beyond business need.</w:t>
      </w:r>
    </w:p>
    <w:p>
      <w:pPr>
        <w:pStyle w:val="ListBullet"/>
      </w:pPr>
      <w:r>
        <w:t>Incomplete audit trail for vendor lifecycle management.</w:t>
      </w:r>
    </w:p>
    <w:p>
      <w:r>
        <w:t>Management Response: Management agrees with the finding. The organisation will implement a vendor offboarding checklist and require evidence retention for all Medium, High, and Critical vendors.</w:t>
      </w:r>
    </w:p>
    <w:p>
      <w:r>
        <w:t>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Create vendor offboarding checklist</w:t>
            </w:r>
          </w:p>
        </w:tc>
        <w:tc>
          <w:tcPr>
            <w:tcW w:type="dxa" w:w="2160"/>
          </w:tcPr>
          <w:p>
            <w:r>
              <w:t>[Owner]</w:t>
            </w:r>
          </w:p>
        </w:tc>
        <w:tc>
          <w:tcPr>
            <w:tcW w:type="dxa" w:w="2160"/>
          </w:tcPr>
          <w:p>
            <w:r>
              <w:t>[Date]</w:t>
            </w:r>
          </w:p>
        </w:tc>
        <w:tc>
          <w:tcPr>
            <w:tcW w:type="dxa" w:w="2160"/>
          </w:tcPr>
          <w:p>
            <w:r>
              <w:t>Not Started</w:t>
            </w:r>
          </w:p>
        </w:tc>
      </w:tr>
      <w:tr>
        <w:tc>
          <w:tcPr>
            <w:tcW w:type="dxa" w:w="2160"/>
          </w:tcPr>
          <w:p>
            <w:r>
              <w:t>Link contract termination workflow to access review workflow</w:t>
            </w:r>
          </w:p>
        </w:tc>
        <w:tc>
          <w:tcPr>
            <w:tcW w:type="dxa" w:w="2160"/>
          </w:tcPr>
          <w:p>
            <w:r>
              <w:t>[Owner]</w:t>
            </w:r>
          </w:p>
        </w:tc>
        <w:tc>
          <w:tcPr>
            <w:tcW w:type="dxa" w:w="2160"/>
          </w:tcPr>
          <w:p>
            <w:r>
              <w:t>[Date]</w:t>
            </w:r>
          </w:p>
        </w:tc>
        <w:tc>
          <w:tcPr>
            <w:tcW w:type="dxa" w:w="2160"/>
          </w:tcPr>
          <w:p>
            <w:r>
              <w:t>Not Started</w:t>
            </w:r>
          </w:p>
        </w:tc>
      </w:tr>
      <w:tr>
        <w:tc>
          <w:tcPr>
            <w:tcW w:type="dxa" w:w="2160"/>
          </w:tcPr>
          <w:p>
            <w:r>
              <w:t>Require data deletion or return confirmation where applicable</w:t>
            </w:r>
          </w:p>
        </w:tc>
        <w:tc>
          <w:tcPr>
            <w:tcW w:type="dxa" w:w="2160"/>
          </w:tcPr>
          <w:p>
            <w:r>
              <w:t>[Owner]</w:t>
            </w:r>
          </w:p>
        </w:tc>
        <w:tc>
          <w:tcPr>
            <w:tcW w:type="dxa" w:w="2160"/>
          </w:tcPr>
          <w:p>
            <w:r>
              <w:t>[Date]</w:t>
            </w:r>
          </w:p>
        </w:tc>
        <w:tc>
          <w:tcPr>
            <w:tcW w:type="dxa" w:w="2160"/>
          </w:tcPr>
          <w:p>
            <w:r>
              <w:t>Not Started</w:t>
            </w:r>
          </w:p>
        </w:tc>
      </w:tr>
      <w:tr>
        <w:tc>
          <w:tcPr>
            <w:tcW w:type="dxa" w:w="2160"/>
          </w:tcPr>
          <w:p>
            <w:r>
              <w:t>Store offboarding evidence in vendor record</w:t>
            </w:r>
          </w:p>
        </w:tc>
        <w:tc>
          <w:tcPr>
            <w:tcW w:type="dxa" w:w="2160"/>
          </w:tcPr>
          <w:p>
            <w:r>
              <w:t>[Owner]</w:t>
            </w:r>
          </w:p>
        </w:tc>
        <w:tc>
          <w:tcPr>
            <w:tcW w:type="dxa" w:w="2160"/>
          </w:tcPr>
          <w:p>
            <w:r>
              <w:t>[Date]</w:t>
            </w:r>
          </w:p>
        </w:tc>
        <w:tc>
          <w:tcPr>
            <w:tcW w:type="dxa" w:w="2160"/>
          </w:tcPr>
          <w:p>
            <w:r>
              <w:t>Not Started</w:t>
            </w:r>
          </w:p>
        </w:tc>
      </w:tr>
    </w:tbl>
    <w:p>
      <w:r>
        <w:t>---</w:t>
      </w:r>
    </w:p>
    <w:p>
      <w:pPr>
        <w:pStyle w:val="Heading3"/>
      </w:pPr>
      <w:r>
        <w:t>Finding VR-005 - Vendor Assurance Report Review Is Not Documented Consistently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Severity</w:t>
            </w:r>
          </w:p>
        </w:tc>
        <w:tc>
          <w:tcPr>
            <w:tcW w:type="dxa" w:w="4320"/>
          </w:tcPr>
          <w:p>
            <w:r>
              <w:t>Medium</w:t>
            </w:r>
          </w:p>
        </w:tc>
      </w:tr>
      <w:tr>
        <w:tc>
          <w:tcPr>
            <w:tcW w:type="dxa" w:w="4320"/>
          </w:tcPr>
          <w:p>
            <w:r>
              <w:t>Affected Vendors</w:t>
            </w:r>
          </w:p>
        </w:tc>
        <w:tc>
          <w:tcPr>
            <w:tcW w:type="dxa" w:w="4320"/>
          </w:tcPr>
          <w:p>
            <w:r>
              <w:t>[Vendor Names]</w:t>
            </w:r>
          </w:p>
        </w:tc>
      </w:tr>
      <w:tr>
        <w:tc>
          <w:tcPr>
            <w:tcW w:type="dxa" w:w="4320"/>
          </w:tcPr>
          <w:p>
            <w:r>
              <w:t>Risk Area</w:t>
            </w:r>
          </w:p>
        </w:tc>
        <w:tc>
          <w:tcPr>
            <w:tcW w:type="dxa" w:w="4320"/>
          </w:tcPr>
          <w:p>
            <w:r>
              <w:t>Assurance evidence review</w:t>
            </w:r>
          </w:p>
        </w:tc>
      </w:tr>
      <w:tr>
        <w:tc>
          <w:tcPr>
            <w:tcW w:type="dxa" w:w="4320"/>
          </w:tcPr>
          <w:p>
            <w:r>
              <w:t>Status</w:t>
            </w:r>
          </w:p>
        </w:tc>
        <w:tc>
          <w:tcPr>
            <w:tcW w:type="dxa" w:w="4320"/>
          </w:tcPr>
          <w:p>
            <w:r>
              <w:t>Open</w:t>
            </w:r>
          </w:p>
        </w:tc>
      </w:tr>
      <w:tr>
        <w:tc>
          <w:tcPr>
            <w:tcW w:type="dxa" w:w="4320"/>
          </w:tcPr>
          <w:p>
            <w:r>
              <w:t>Owner</w:t>
            </w:r>
          </w:p>
        </w:tc>
        <w:tc>
          <w:tcPr>
            <w:tcW w:type="dxa" w:w="4320"/>
          </w:tcPr>
          <w:p>
            <w:r>
              <w:t>[Security Assurance Owner]</w:t>
            </w:r>
          </w:p>
        </w:tc>
      </w:tr>
      <w:tr>
        <w:tc>
          <w:tcPr>
            <w:tcW w:type="dxa" w:w="4320"/>
          </w:tcPr>
          <w:p>
            <w:r>
              <w:t>Target Date</w:t>
            </w:r>
          </w:p>
        </w:tc>
        <w:tc>
          <w:tcPr>
            <w:tcW w:type="dxa" w:w="4320"/>
          </w:tcPr>
          <w:p>
            <w:r>
              <w:t>[Target Date]</w:t>
            </w:r>
          </w:p>
        </w:tc>
      </w:tr>
    </w:tbl>
    <w:p>
      <w:r>
        <w:t>Observation: Several Critical and High-risk vendors provided independent assurance reports or similar security assurance documentation. While the documents were obtained, reviewer notes did not consistently document key items such as report period, services covered, complementary customer responsibilities, exceptions identified, bridge letters, or management responses.</w:t>
      </w:r>
    </w:p>
    <w:p>
      <w:r>
        <w:t>Evidence Reviewed:</w:t>
      </w:r>
    </w:p>
    <w:p>
      <w:pPr>
        <w:pStyle w:val="ListBullet"/>
      </w:pPr>
      <w:r>
        <w:t>Vendor assurance reports.</w:t>
      </w:r>
    </w:p>
    <w:p>
      <w:pPr>
        <w:pStyle w:val="ListBullet"/>
      </w:pPr>
      <w:r>
        <w:t>Bridge letters.</w:t>
      </w:r>
    </w:p>
    <w:p>
      <w:pPr>
        <w:pStyle w:val="ListBullet"/>
      </w:pPr>
      <w:r>
        <w:t>Security review notes.</w:t>
      </w:r>
    </w:p>
    <w:p>
      <w:pPr>
        <w:pStyle w:val="ListBullet"/>
      </w:pPr>
      <w:r>
        <w:t>Vendor risk assessment forms.</w:t>
      </w:r>
    </w:p>
    <w:p>
      <w:r>
        <w:t>Risk: Obtaining assurance reports without documenting review conclusions may not provide sufficient evidence that management evaluated whether vendor controls are relevant, effective, and aligned with the organisation’s responsibilities.</w:t>
      </w:r>
    </w:p>
    <w:p>
      <w:r>
        <w:t>Root Cause: There is no standardized assurance report review template requiring reviewers to record scope, exceptions, user responsibilities, and follow-up actions.</w:t>
      </w:r>
    </w:p>
    <w:p>
      <w:r>
        <w:t>Impact:</w:t>
      </w:r>
    </w:p>
    <w:p>
      <w:pPr>
        <w:pStyle w:val="ListBullet"/>
      </w:pPr>
      <w:r>
        <w:t>Important vendor exceptions may be overlooked.</w:t>
      </w:r>
    </w:p>
    <w:p>
      <w:pPr>
        <w:pStyle w:val="ListBullet"/>
      </w:pPr>
      <w:r>
        <w:t>Customer responsibilities may not be translated into internal controls.</w:t>
      </w:r>
    </w:p>
    <w:p>
      <w:pPr>
        <w:pStyle w:val="ListBullet"/>
      </w:pPr>
      <w:r>
        <w:t>Audit evidence may be insufficient to demonstrate meaningful vendor oversight.</w:t>
      </w:r>
    </w:p>
    <w:p>
      <w:pPr>
        <w:pStyle w:val="ListBullet"/>
      </w:pPr>
      <w:r>
        <w:t>Renewal decisions may not be supported by complete review rationale.</w:t>
      </w:r>
    </w:p>
    <w:p>
      <w:r>
        <w:t>Management Response: Management agrees. A standard assurance report review template will be implemented for Critical and High-risk vendors.</w:t>
      </w:r>
    </w:p>
    <w:p>
      <w:r>
        <w:t>Required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Due Date</w:t>
            </w:r>
          </w:p>
        </w:tc>
        <w:tc>
          <w:tcPr>
            <w:tcW w:type="dxa" w:w="2160"/>
          </w:tcPr>
          <w:p>
            <w:r>
              <w:t>Status</w:t>
            </w:r>
          </w:p>
        </w:tc>
      </w:tr>
      <w:tr>
        <w:tc>
          <w:tcPr>
            <w:tcW w:type="dxa" w:w="2160"/>
          </w:tcPr>
          <w:p>
            <w:r>
              <w:t>Develop assurance report review template</w:t>
            </w:r>
          </w:p>
        </w:tc>
        <w:tc>
          <w:tcPr>
            <w:tcW w:type="dxa" w:w="2160"/>
          </w:tcPr>
          <w:p>
            <w:r>
              <w:t>[Owner]</w:t>
            </w:r>
          </w:p>
        </w:tc>
        <w:tc>
          <w:tcPr>
            <w:tcW w:type="dxa" w:w="2160"/>
          </w:tcPr>
          <w:p>
            <w:r>
              <w:t>[Date]</w:t>
            </w:r>
          </w:p>
        </w:tc>
        <w:tc>
          <w:tcPr>
            <w:tcW w:type="dxa" w:w="2160"/>
          </w:tcPr>
          <w:p>
            <w:r>
              <w:t>Not Started</w:t>
            </w:r>
          </w:p>
        </w:tc>
      </w:tr>
      <w:tr>
        <w:tc>
          <w:tcPr>
            <w:tcW w:type="dxa" w:w="2160"/>
          </w:tcPr>
          <w:p>
            <w:r>
              <w:t>Train reviewers on documenting scope and exceptions</w:t>
            </w:r>
          </w:p>
        </w:tc>
        <w:tc>
          <w:tcPr>
            <w:tcW w:type="dxa" w:w="2160"/>
          </w:tcPr>
          <w:p>
            <w:r>
              <w:t>[Owner]</w:t>
            </w:r>
          </w:p>
        </w:tc>
        <w:tc>
          <w:tcPr>
            <w:tcW w:type="dxa" w:w="2160"/>
          </w:tcPr>
          <w:p>
            <w:r>
              <w:t>[Date]</w:t>
            </w:r>
          </w:p>
        </w:tc>
        <w:tc>
          <w:tcPr>
            <w:tcW w:type="dxa" w:w="2160"/>
          </w:tcPr>
          <w:p>
            <w:r>
              <w:t>Not Started</w:t>
            </w:r>
          </w:p>
        </w:tc>
      </w:tr>
      <w:tr>
        <w:tc>
          <w:tcPr>
            <w:tcW w:type="dxa" w:w="2160"/>
          </w:tcPr>
          <w:p>
            <w:r>
              <w:t>Re-review current Critical vendor assurance reports using template</w:t>
            </w:r>
          </w:p>
        </w:tc>
        <w:tc>
          <w:tcPr>
            <w:tcW w:type="dxa" w:w="2160"/>
          </w:tcPr>
          <w:p>
            <w:r>
              <w:t>[Owner]</w:t>
            </w:r>
          </w:p>
        </w:tc>
        <w:tc>
          <w:tcPr>
            <w:tcW w:type="dxa" w:w="2160"/>
          </w:tcPr>
          <w:p>
            <w:r>
              <w:t>[Date]</w:t>
            </w:r>
          </w:p>
        </w:tc>
        <w:tc>
          <w:tcPr>
            <w:tcW w:type="dxa" w:w="2160"/>
          </w:tcPr>
          <w:p>
            <w:r>
              <w:t>Not Started</w:t>
            </w:r>
          </w:p>
        </w:tc>
      </w:tr>
      <w:tr>
        <w:tc>
          <w:tcPr>
            <w:tcW w:type="dxa" w:w="2160"/>
          </w:tcPr>
          <w:p>
            <w:r>
              <w:t>Track customer responsibility items to internal control owners</w:t>
            </w:r>
          </w:p>
        </w:tc>
        <w:tc>
          <w:tcPr>
            <w:tcW w:type="dxa" w:w="2160"/>
          </w:tcPr>
          <w:p>
            <w:r>
              <w:t>[Owner]</w:t>
            </w:r>
          </w:p>
        </w:tc>
        <w:tc>
          <w:tcPr>
            <w:tcW w:type="dxa" w:w="2160"/>
          </w:tcPr>
          <w:p>
            <w:r>
              <w:t>[Date]</w:t>
            </w:r>
          </w:p>
        </w:tc>
        <w:tc>
          <w:tcPr>
            <w:tcW w:type="dxa" w:w="2160"/>
          </w:tcPr>
          <w:p>
            <w:r>
              <w:t>Not Started</w:t>
            </w:r>
          </w:p>
        </w:tc>
      </w:tr>
    </w:tbl>
    <w:p>
      <w:r>
        <w:t>---</w:t>
      </w:r>
    </w:p>
    <w:p>
      <w:pPr>
        <w:pStyle w:val="Heading3"/>
      </w:pPr>
      <w:r>
        <w:t>Positive Results Observed</w:t>
      </w:r>
    </w:p>
    <w:p>
      <w:r>
        <w:t>The following strengths were noted during the assessment:</w:t>
      </w:r>
    </w:p>
    <w:p>
      <w:pPr>
        <w:pStyle w:val="ListBullet"/>
      </w:pPr>
      <w:r>
        <w:t>Critical vendors are generally known, tracked, and assigned business owners.</w:t>
      </w:r>
    </w:p>
    <w:p>
      <w:pPr>
        <w:pStyle w:val="ListBullet"/>
      </w:pPr>
      <w:r>
        <w:t>Security review is performed for new Critical and High-risk vendors before production use.</w:t>
      </w:r>
    </w:p>
    <w:p>
      <w:pPr>
        <w:pStyle w:val="ListBullet"/>
      </w:pPr>
      <w:r>
        <w:t>Vendor risk tiering considers data sensitivity, system access, and service criticality.</w:t>
      </w:r>
    </w:p>
    <w:p>
      <w:pPr>
        <w:pStyle w:val="ListBullet"/>
      </w:pPr>
      <w:r>
        <w:t>Most Critical vendors provide current assurance materials or equivalent security documentation.</w:t>
      </w:r>
    </w:p>
    <w:p>
      <w:pPr>
        <w:pStyle w:val="ListBullet"/>
      </w:pPr>
      <w:r>
        <w:t>Access to key vendor platforms is integrated with centralized identity management where supported.</w:t>
      </w:r>
    </w:p>
    <w:p>
      <w:pPr>
        <w:pStyle w:val="ListBullet"/>
      </w:pPr>
      <w:r>
        <w:t>Vendor incidents and service issues are reviewed by operational teams when reported.</w:t>
      </w:r>
    </w:p>
    <w:p>
      <w:pPr>
        <w:pStyle w:val="ListBullet"/>
      </w:pPr>
      <w:r>
        <w:t>Procurement and legal teams are involved in vendor onboarding for material relationships.</w:t>
      </w:r>
    </w:p>
    <w:p>
      <w:pPr>
        <w:pStyle w:val="ListBullet"/>
      </w:pPr>
      <w:r>
        <w:t>Business owners are aware of their role in sponsoring and approving vendor use.</w:t>
      </w:r>
    </w:p>
    <w:p>
      <w:pPr>
        <w:pStyle w:val="Heading3"/>
      </w:pPr>
      <w:r>
        <w:t>Vendor-by-Vendor Assessment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Vendor</w:t>
            </w:r>
          </w:p>
        </w:tc>
        <w:tc>
          <w:tcPr>
            <w:tcW w:type="dxa" w:w="1440"/>
          </w:tcPr>
          <w:p>
            <w:r>
              <w:t>Risk Tier</w:t>
            </w:r>
          </w:p>
        </w:tc>
        <w:tc>
          <w:tcPr>
            <w:tcW w:type="dxa" w:w="1440"/>
          </w:tcPr>
          <w:p>
            <w:r>
              <w:t>Evidence Reviewed</w:t>
            </w:r>
          </w:p>
        </w:tc>
        <w:tc>
          <w:tcPr>
            <w:tcW w:type="dxa" w:w="1440"/>
          </w:tcPr>
          <w:p>
            <w:r>
              <w:t>Key Result</w:t>
            </w:r>
          </w:p>
        </w:tc>
        <w:tc>
          <w:tcPr>
            <w:tcW w:type="dxa" w:w="1440"/>
          </w:tcPr>
          <w:p>
            <w:r>
              <w:t>Residual Risk</w:t>
            </w:r>
          </w:p>
        </w:tc>
        <w:tc>
          <w:tcPr>
            <w:tcW w:type="dxa" w:w="1440"/>
          </w:tcPr>
          <w:p>
            <w:r>
              <w:t>Decision</w:t>
            </w:r>
          </w:p>
        </w:tc>
      </w:tr>
      <w:tr>
        <w:tc>
          <w:tcPr>
            <w:tcW w:type="dxa" w:w="1440"/>
          </w:tcPr>
          <w:p>
            <w:r>
              <w:t>[Cloud Infrastructure Vendor]</w:t>
            </w:r>
          </w:p>
        </w:tc>
        <w:tc>
          <w:tcPr>
            <w:tcW w:type="dxa" w:w="1440"/>
          </w:tcPr>
          <w:p>
            <w:r>
              <w:t>Critical</w:t>
            </w:r>
          </w:p>
        </w:tc>
        <w:tc>
          <w:tcPr>
            <w:tcW w:type="dxa" w:w="1440"/>
          </w:tcPr>
          <w:p>
            <w:r>
              <w:t>Assurance report, security documentation, contract, status reports</w:t>
            </w:r>
          </w:p>
        </w:tc>
        <w:tc>
          <w:tcPr>
            <w:tcW w:type="dxa" w:w="1440"/>
          </w:tcPr>
          <w:p>
            <w:r>
              <w:t>Evidence current; strong controls; customer responsibility items require tracking</w:t>
            </w:r>
          </w:p>
        </w:tc>
        <w:tc>
          <w:tcPr>
            <w:tcW w:type="dxa" w:w="1440"/>
          </w:tcPr>
          <w:p>
            <w:r>
              <w:t>Medium</w:t>
            </w:r>
          </w:p>
        </w:tc>
        <w:tc>
          <w:tcPr>
            <w:tcW w:type="dxa" w:w="1440"/>
          </w:tcPr>
          <w:p>
            <w:r>
              <w:t>Approved with actions</w:t>
            </w:r>
          </w:p>
        </w:tc>
      </w:tr>
      <w:tr>
        <w:tc>
          <w:tcPr>
            <w:tcW w:type="dxa" w:w="1440"/>
          </w:tcPr>
          <w:p>
            <w:r>
              <w:t>[Identity Provider]</w:t>
            </w:r>
          </w:p>
        </w:tc>
        <w:tc>
          <w:tcPr>
            <w:tcW w:type="dxa" w:w="1440"/>
          </w:tcPr>
          <w:p>
            <w:r>
              <w:t>Critical</w:t>
            </w:r>
          </w:p>
        </w:tc>
        <w:tc>
          <w:tcPr>
            <w:tcW w:type="dxa" w:w="1440"/>
          </w:tcPr>
          <w:p>
            <w:r>
              <w:t>Assurance report, security documentation, access configuration review</w:t>
            </w:r>
          </w:p>
        </w:tc>
        <w:tc>
          <w:tcPr>
            <w:tcW w:type="dxa" w:w="1440"/>
          </w:tcPr>
          <w:p>
            <w:r>
              <w:t>Appropriate controls; privileged administration should remain under periodic review</w:t>
            </w:r>
          </w:p>
        </w:tc>
        <w:tc>
          <w:tcPr>
            <w:tcW w:type="dxa" w:w="1440"/>
          </w:tcPr>
          <w:p>
            <w:r>
              <w:t>Low</w:t>
            </w:r>
          </w:p>
        </w:tc>
        <w:tc>
          <w:tcPr>
            <w:tcW w:type="dxa" w:w="1440"/>
          </w:tcPr>
          <w:p>
            <w:r>
              <w:t>Approved</w:t>
            </w:r>
          </w:p>
        </w:tc>
      </w:tr>
      <w:tr>
        <w:tc>
          <w:tcPr>
            <w:tcW w:type="dxa" w:w="1440"/>
          </w:tcPr>
          <w:p>
            <w:r>
              <w:t>[Payment Processor]</w:t>
            </w:r>
          </w:p>
        </w:tc>
        <w:tc>
          <w:tcPr>
            <w:tcW w:type="dxa" w:w="1440"/>
          </w:tcPr>
          <w:p>
            <w:r>
              <w:t>Critical</w:t>
            </w:r>
          </w:p>
        </w:tc>
        <w:tc>
          <w:tcPr>
            <w:tcW w:type="dxa" w:w="1440"/>
          </w:tcPr>
          <w:p>
            <w:r>
              <w:t>Compliance documentation, contract, data handling terms</w:t>
            </w:r>
          </w:p>
        </w:tc>
        <w:tc>
          <w:tcPr>
            <w:tcW w:type="dxa" w:w="1440"/>
          </w:tcPr>
          <w:p>
            <w:r>
              <w:t>Suitable for current use; contract renewal should confirm incident notice terms</w:t>
            </w:r>
          </w:p>
        </w:tc>
        <w:tc>
          <w:tcPr>
            <w:tcW w:type="dxa" w:w="1440"/>
          </w:tcPr>
          <w:p>
            <w:r>
              <w:t>Medium</w:t>
            </w:r>
          </w:p>
        </w:tc>
        <w:tc>
          <w:tcPr>
            <w:tcW w:type="dxa" w:w="1440"/>
          </w:tcPr>
          <w:p>
            <w:r>
              <w:t>Approved with actions</w:t>
            </w:r>
          </w:p>
        </w:tc>
      </w:tr>
      <w:tr>
        <w:tc>
          <w:tcPr>
            <w:tcW w:type="dxa" w:w="1440"/>
          </w:tcPr>
          <w:p>
            <w:r>
              <w:t>[Monitoring Vendor]</w:t>
            </w:r>
          </w:p>
        </w:tc>
        <w:tc>
          <w:tcPr>
            <w:tcW w:type="dxa" w:w="1440"/>
          </w:tcPr>
          <w:p>
            <w:r>
              <w:t>High</w:t>
            </w:r>
          </w:p>
        </w:tc>
        <w:tc>
          <w:tcPr>
            <w:tcW w:type="dxa" w:w="1440"/>
          </w:tcPr>
          <w:p>
            <w:r>
              <w:t>Security questionnaire, contract, access review</w:t>
            </w:r>
          </w:p>
        </w:tc>
        <w:tc>
          <w:tcPr>
            <w:tcW w:type="dxa" w:w="1440"/>
          </w:tcPr>
          <w:p>
            <w:r>
              <w:t>Data exposure limited but log sensitivity requires retention and access controls</w:t>
            </w:r>
          </w:p>
        </w:tc>
        <w:tc>
          <w:tcPr>
            <w:tcW w:type="dxa" w:w="1440"/>
          </w:tcPr>
          <w:p>
            <w:r>
              <w:t>Medium</w:t>
            </w:r>
          </w:p>
        </w:tc>
        <w:tc>
          <w:tcPr>
            <w:tcW w:type="dxa" w:w="1440"/>
          </w:tcPr>
          <w:p>
            <w:r>
              <w:t>Approved with actions</w:t>
            </w:r>
          </w:p>
        </w:tc>
      </w:tr>
      <w:tr>
        <w:tc>
          <w:tcPr>
            <w:tcW w:type="dxa" w:w="1440"/>
          </w:tcPr>
          <w:p>
            <w:r>
              <w:t>[Customer Support Platform]</w:t>
            </w:r>
          </w:p>
        </w:tc>
        <w:tc>
          <w:tcPr>
            <w:tcW w:type="dxa" w:w="1440"/>
          </w:tcPr>
          <w:p>
            <w:r>
              <w:t>High</w:t>
            </w:r>
          </w:p>
        </w:tc>
        <w:tc>
          <w:tcPr>
            <w:tcW w:type="dxa" w:w="1440"/>
          </w:tcPr>
          <w:p>
            <w:r>
              <w:t>Security documentation, data processing terms, access list</w:t>
            </w:r>
          </w:p>
        </w:tc>
        <w:tc>
          <w:tcPr>
            <w:tcW w:type="dxa" w:w="1440"/>
          </w:tcPr>
          <w:p>
            <w:r>
              <w:t>Customer data present; reassessment evidence needs update</w:t>
            </w:r>
          </w:p>
        </w:tc>
        <w:tc>
          <w:tcPr>
            <w:tcW w:type="dxa" w:w="1440"/>
          </w:tcPr>
          <w:p>
            <w:r>
              <w:t>Medium</w:t>
            </w:r>
          </w:p>
        </w:tc>
        <w:tc>
          <w:tcPr>
            <w:tcW w:type="dxa" w:w="1440"/>
          </w:tcPr>
          <w:p>
            <w:r>
              <w:t>Conditionally approved</w:t>
            </w:r>
          </w:p>
        </w:tc>
      </w:tr>
      <w:tr>
        <w:tc>
          <w:tcPr>
            <w:tcW w:type="dxa" w:w="1440"/>
          </w:tcPr>
          <w:p>
            <w:r>
              <w:t>[HR Platform]</w:t>
            </w:r>
          </w:p>
        </w:tc>
        <w:tc>
          <w:tcPr>
            <w:tcW w:type="dxa" w:w="1440"/>
          </w:tcPr>
          <w:p>
            <w:r>
              <w:t>Medium</w:t>
            </w:r>
          </w:p>
        </w:tc>
        <w:tc>
          <w:tcPr>
            <w:tcW w:type="dxa" w:w="1440"/>
          </w:tcPr>
          <w:p>
            <w:r>
              <w:t>Security questionnaire, privacy terms</w:t>
            </w:r>
          </w:p>
        </w:tc>
        <w:tc>
          <w:tcPr>
            <w:tcW w:type="dxa" w:w="1440"/>
          </w:tcPr>
          <w:p>
            <w:r>
              <w:t>Employee data handled; no production access</w:t>
            </w:r>
          </w:p>
        </w:tc>
        <w:tc>
          <w:tcPr>
            <w:tcW w:type="dxa" w:w="1440"/>
          </w:tcPr>
          <w:p>
            <w:r>
              <w:t>Low</w:t>
            </w:r>
          </w:p>
        </w:tc>
        <w:tc>
          <w:tcPr>
            <w:tcW w:type="dxa" w:w="1440"/>
          </w:tcPr>
          <w:p>
            <w:r>
              <w:t>Approved</w:t>
            </w:r>
          </w:p>
        </w:tc>
      </w:tr>
      <w:tr>
        <w:tc>
          <w:tcPr>
            <w:tcW w:type="dxa" w:w="1440"/>
          </w:tcPr>
          <w:p>
            <w:r>
              <w:t>[Email and Collaboration Provider]</w:t>
            </w:r>
          </w:p>
        </w:tc>
        <w:tc>
          <w:tcPr>
            <w:tcW w:type="dxa" w:w="1440"/>
          </w:tcPr>
          <w:p>
            <w:r>
              <w:t>Medium</w:t>
            </w:r>
          </w:p>
        </w:tc>
        <w:tc>
          <w:tcPr>
            <w:tcW w:type="dxa" w:w="1440"/>
          </w:tcPr>
          <w:p>
            <w:r>
              <w:t>Public security documentation, contract</w:t>
            </w:r>
          </w:p>
        </w:tc>
        <w:tc>
          <w:tcPr>
            <w:tcW w:type="dxa" w:w="1440"/>
          </w:tcPr>
          <w:p>
            <w:r>
              <w:t>Broad internal data exposure; monitoring process should be formalized</w:t>
            </w:r>
          </w:p>
        </w:tc>
        <w:tc>
          <w:tcPr>
            <w:tcW w:type="dxa" w:w="1440"/>
          </w:tcPr>
          <w:p>
            <w:r>
              <w:t>Medium</w:t>
            </w:r>
          </w:p>
        </w:tc>
        <w:tc>
          <w:tcPr>
            <w:tcW w:type="dxa" w:w="1440"/>
          </w:tcPr>
          <w:p>
            <w:r>
              <w:t>Approved with actions</w:t>
            </w:r>
          </w:p>
        </w:tc>
      </w:tr>
      <w:tr>
        <w:tc>
          <w:tcPr>
            <w:tcW w:type="dxa" w:w="1440"/>
          </w:tcPr>
          <w:p>
            <w:r>
              <w:t>[Analytics Provider]</w:t>
            </w:r>
          </w:p>
        </w:tc>
        <w:tc>
          <w:tcPr>
            <w:tcW w:type="dxa" w:w="1440"/>
          </w:tcPr>
          <w:p>
            <w:r>
              <w:t>Medium</w:t>
            </w:r>
          </w:p>
        </w:tc>
        <w:tc>
          <w:tcPr>
            <w:tcW w:type="dxa" w:w="1440"/>
          </w:tcPr>
          <w:p>
            <w:r>
              <w:t>Security questionnaire, data flow notes</w:t>
            </w:r>
          </w:p>
        </w:tc>
        <w:tc>
          <w:tcPr>
            <w:tcW w:type="dxa" w:w="1440"/>
          </w:tcPr>
          <w:p>
            <w:r>
              <w:t>Usage data limited; data minimisation controls should be confirmed</w:t>
            </w:r>
          </w:p>
        </w:tc>
        <w:tc>
          <w:tcPr>
            <w:tcW w:type="dxa" w:w="1440"/>
          </w:tcPr>
          <w:p>
            <w:r>
              <w:t>Low</w:t>
            </w:r>
          </w:p>
        </w:tc>
        <w:tc>
          <w:tcPr>
            <w:tcW w:type="dxa" w:w="1440"/>
          </w:tcPr>
          <w:p>
            <w:r>
              <w:t>Approved</w:t>
            </w:r>
          </w:p>
        </w:tc>
      </w:tr>
    </w:tbl>
    <w:p>
      <w:pPr>
        <w:pStyle w:val="Heading2"/>
      </w:pPr>
      <w:r>
        <w:t>Analysis</w:t>
      </w:r>
    </w:p>
    <w:p>
      <w:pPr>
        <w:pStyle w:val="Heading3"/>
      </w:pPr>
      <w:r>
        <w:t>Vendor Risk Posture</w:t>
      </w:r>
    </w:p>
    <w:p>
      <w:r>
        <w:t>The overall vendor risk posture is acceptable for continued operation, provided that identified remediation actions are completed within agreed timeframes. The organisation has a functioning vendor risk process and has prioritized review of vendors that have the greatest potential impact on customers, systems, and data.</w:t>
      </w:r>
    </w:p>
    <w:p>
      <w:r>
        <w:t>Critical vendors generally have mature security programs and provide independent assurance evidence. The organisation’s reliance on these vendors is significant, particularly for hosting, identity, payments, and monitoring. These relationships should continue to receive enhanced oversight due to the potential impact of outages, security incidents, or changes in service scope.</w:t>
      </w:r>
    </w:p>
    <w:p>
      <w:r>
        <w:t>High and Medium-risk vendors present lower individual impact than Critical vendors, but the aggregate risk is meaningful. These vendors often process support content, internal business data, logs, analytics data, employee information, or operational records. Inconsistent evidence collection and monitoring for these vendors creates audit readiness gaps and may conceal changes in risk exposure.</w:t>
      </w:r>
    </w:p>
    <w:p>
      <w:pPr>
        <w:pStyle w:val="Heading3"/>
      </w:pPr>
      <w:r>
        <w:t>Key Risk Drivers</w:t>
      </w:r>
    </w:p>
    <w:p>
      <w:r>
        <w:t>The primary drivers of vendor risk are:</w:t>
      </w:r>
    </w:p>
    <w:p>
      <w:pPr>
        <w:pStyle w:val="ListBullet"/>
      </w:pPr>
      <w:r>
        <w:t>Data exposure: Vendors with access to customer data, support content, production logs, authentication data, or payment information create higher confidentiality and privacy risk.</w:t>
      </w:r>
    </w:p>
    <w:p>
      <w:pPr>
        <w:pStyle w:val="ListBullet"/>
      </w:pPr>
      <w:r>
        <w:t>Operational dependency: Hosting, identity, monitoring, and payment services can directly affect service availability and customer commitments.</w:t>
      </w:r>
    </w:p>
    <w:p>
      <w:pPr>
        <w:pStyle w:val="ListBullet"/>
      </w:pPr>
      <w:r>
        <w:t>Privileged access: Vendors with administrative, service account, or persistent access require stronger access controls and periodic review.</w:t>
      </w:r>
    </w:p>
    <w:p>
      <w:pPr>
        <w:pStyle w:val="ListBullet"/>
      </w:pPr>
      <w:r>
        <w:t>Contractual enforceability: Without clear contract terms, the organisation may have limited leverage to obtain timely incident information, assurance evidence, or data deletion confirmation.</w:t>
      </w:r>
    </w:p>
    <w:p>
      <w:pPr>
        <w:pStyle w:val="ListBullet"/>
      </w:pPr>
      <w:r>
        <w:t>Downstream providers: Vendor use of subcontractors may introduce additional risk if not disclosed, reviewed, or contractually controlled.</w:t>
      </w:r>
    </w:p>
    <w:p>
      <w:pPr>
        <w:pStyle w:val="ListBullet"/>
      </w:pPr>
      <w:r>
        <w:t>Assurance evidence quality: Independent reports and security questionnaires are useful only when reviewed, interpreted, and linked to internal responsibilities.</w:t>
      </w:r>
    </w:p>
    <w:p>
      <w:pPr>
        <w:pStyle w:val="Heading3"/>
      </w:pPr>
      <w:r>
        <w:t>Residual Risk Assessment</w:t>
      </w:r>
    </w:p>
    <w:p>
      <w:r>
        <w:t>Residual risk is currently assessed as Medium overall.</w:t>
      </w:r>
    </w:p>
    <w:p>
      <w:r>
        <w:t>This rating is based on the following:</w:t>
      </w:r>
    </w:p>
    <w:p>
      <w:pPr>
        <w:pStyle w:val="ListBullet"/>
      </w:pPr>
      <w:r>
        <w:t>Critical vendor review is substantially in place.</w:t>
      </w:r>
    </w:p>
    <w:p>
      <w:pPr>
        <w:pStyle w:val="ListBullet"/>
      </w:pPr>
      <w:r>
        <w:t>No known material vendor-caused security incident occurred during the reporting period.</w:t>
      </w:r>
    </w:p>
    <w:p>
      <w:pPr>
        <w:pStyle w:val="ListBullet"/>
      </w:pPr>
      <w:r>
        <w:t>Several process gaps exist in inventory completeness, contract terms, monitoring, and evidence retention.</w:t>
      </w:r>
    </w:p>
    <w:p>
      <w:pPr>
        <w:pStyle w:val="ListBullet"/>
      </w:pPr>
      <w:r>
        <w:t>Existing compensating controls reduce but do not eliminate risk, including centralized identity management, business owner oversight, security review for new vendors, and procurement involvement.</w:t>
      </w:r>
    </w:p>
    <w:p>
      <w:pPr>
        <w:pStyle w:val="Heading3"/>
      </w:pPr>
      <w:r>
        <w:t>Compensating Controls</w:t>
      </w:r>
    </w:p>
    <w:p>
      <w:r>
        <w:t>The following controls reduce current vendor risk:</w:t>
      </w:r>
    </w:p>
    <w:p>
      <w:pPr>
        <w:pStyle w:val="ListBullet"/>
      </w:pPr>
      <w:r>
        <w:t>Security review is required before use of new Critical and High-risk vendors.</w:t>
      </w:r>
    </w:p>
    <w:p>
      <w:pPr>
        <w:pStyle w:val="ListBullet"/>
      </w:pPr>
      <w:r>
        <w:t>Procurement and legal review are involved for material vendor agreements.</w:t>
      </w:r>
    </w:p>
    <w:p>
      <w:pPr>
        <w:pStyle w:val="ListBullet"/>
      </w:pPr>
      <w:r>
        <w:t>Access to key systems is managed through centralized identity controls where technically supported.</w:t>
      </w:r>
    </w:p>
    <w:p>
      <w:pPr>
        <w:pStyle w:val="ListBullet"/>
      </w:pPr>
      <w:r>
        <w:t>Critical vendors are generally reviewed annually.</w:t>
      </w:r>
    </w:p>
    <w:p>
      <w:pPr>
        <w:pStyle w:val="ListBullet"/>
      </w:pPr>
      <w:r>
        <w:t>Vendor issues can be escalated through security, legal, procurement, and executive management.</w:t>
      </w:r>
    </w:p>
    <w:p>
      <w:pPr>
        <w:pStyle w:val="ListBullet"/>
      </w:pPr>
      <w:r>
        <w:t>Incident response processes include third-party incidents where reported or discovered.</w:t>
      </w:r>
    </w:p>
    <w:p>
      <w:pPr>
        <w:pStyle w:val="ListBullet"/>
      </w:pPr>
      <w:r>
        <w:t>Customer-impacting vendor outages are tracked through operational response processes.</w:t>
      </w:r>
    </w:p>
    <w:p>
      <w:pPr>
        <w:pStyle w:val="Heading3"/>
      </w:pPr>
      <w:r>
        <w:t>Areas Requiring Management Attention</w:t>
      </w:r>
    </w:p>
    <w:p>
      <w:r>
        <w:t>Management attention is required in the following areas:</w:t>
      </w:r>
    </w:p>
    <w:p>
      <w:pPr>
        <w:pStyle w:val="ListBullet"/>
      </w:pPr>
      <w:r>
        <w:t>Centralized vendor inventory ownership</w:t>
      </w:r>
    </w:p>
    <w:p>
      <w:r>
        <w:t>A single accountable owner should maintain the authoritative vendor inventory and ensure completeness.</w:t>
      </w:r>
    </w:p>
    <w:p>
      <w:pPr>
        <w:pStyle w:val="ListBullet"/>
      </w:pPr>
      <w:r>
        <w:t>Contract remediation plan</w:t>
      </w:r>
    </w:p>
    <w:p>
      <w:r>
        <w:t>Contracts for Critical and High-risk vendors should be reviewed and improved at renewal or through amendment where risk justifies earlier action.</w:t>
      </w:r>
    </w:p>
    <w:p>
      <w:pPr>
        <w:pStyle w:val="ListBullet"/>
      </w:pPr>
      <w:r>
        <w:t>Consistent reassessment cadence</w:t>
      </w:r>
    </w:p>
    <w:p>
      <w:r>
        <w:t>Vendor reassessments should be driven by risk tier and tracked through an accountable workflow.</w:t>
      </w:r>
    </w:p>
    <w:p>
      <w:pPr>
        <w:pStyle w:val="ListBullet"/>
      </w:pPr>
      <w:r>
        <w:t>Evidence quality and retention</w:t>
      </w:r>
    </w:p>
    <w:p>
      <w:r>
        <w:t>Assessment evidence should be stored in a central location and include clear review conclusions.</w:t>
      </w:r>
    </w:p>
    <w:p>
      <w:pPr>
        <w:pStyle w:val="ListBullet"/>
      </w:pPr>
      <w:r>
        <w:t>Exit and offboarding assurance</w:t>
      </w:r>
    </w:p>
    <w:p>
      <w:r>
        <w:t>Vendor termination should include confirmation of access removal, integration disablement, and data return or deletion.</w:t>
      </w:r>
    </w:p>
    <w:p>
      <w:pPr>
        <w:pStyle w:val="Heading2"/>
      </w:pPr>
      <w:r>
        <w:t>Recommendations &amp; Actions</w:t>
      </w:r>
    </w:p>
    <w:p>
      <w:pPr>
        <w:pStyle w:val="Heading3"/>
      </w:pPr>
      <w:r>
        <w:t>Management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Recommendation</w:t>
            </w:r>
          </w:p>
        </w:tc>
        <w:tc>
          <w:tcPr>
            <w:tcW w:type="dxa" w:w="1234"/>
          </w:tcPr>
          <w:p>
            <w:r>
              <w:t>Priority</w:t>
            </w:r>
          </w:p>
        </w:tc>
        <w:tc>
          <w:tcPr>
            <w:tcW w:type="dxa" w:w="1234"/>
          </w:tcPr>
          <w:p>
            <w:r>
              <w:t>Owner</w:t>
            </w:r>
          </w:p>
        </w:tc>
        <w:tc>
          <w:tcPr>
            <w:tcW w:type="dxa" w:w="1234"/>
          </w:tcPr>
          <w:p>
            <w:r>
              <w:t>Target Date</w:t>
            </w:r>
          </w:p>
        </w:tc>
        <w:tc>
          <w:tcPr>
            <w:tcW w:type="dxa" w:w="1234"/>
          </w:tcPr>
          <w:p>
            <w:r>
              <w:t>Success Criteria</w:t>
            </w:r>
          </w:p>
        </w:tc>
        <w:tc>
          <w:tcPr>
            <w:tcW w:type="dxa" w:w="1234"/>
          </w:tcPr>
          <w:p>
            <w:r>
              <w:t>Status</w:t>
            </w:r>
          </w:p>
        </w:tc>
      </w:tr>
      <w:tr>
        <w:tc>
          <w:tcPr>
            <w:tcW w:type="dxa" w:w="1234"/>
          </w:tcPr>
          <w:p>
            <w:r>
              <w:t>VA-001</w:t>
            </w:r>
          </w:p>
        </w:tc>
        <w:tc>
          <w:tcPr>
            <w:tcW w:type="dxa" w:w="1234"/>
          </w:tcPr>
          <w:p>
            <w:r>
              <w:t>Update the vendor inventory to include mandatory fields for owner, risk tier, data type, access type, contract owner, reassessment date, and evidence location</w:t>
            </w:r>
          </w:p>
        </w:tc>
        <w:tc>
          <w:tcPr>
            <w:tcW w:type="dxa" w:w="1234"/>
          </w:tcPr>
          <w:p>
            <w:r>
              <w:t>High</w:t>
            </w:r>
          </w:p>
        </w:tc>
        <w:tc>
          <w:tcPr>
            <w:tcW w:type="dxa" w:w="1234"/>
          </w:tcPr>
          <w:p>
            <w:r>
              <w:t>[Owner]</w:t>
            </w:r>
          </w:p>
        </w:tc>
        <w:tc>
          <w:tcPr>
            <w:tcW w:type="dxa" w:w="1234"/>
          </w:tcPr>
          <w:p>
            <w:r>
              <w:t>[Date]</w:t>
            </w:r>
          </w:p>
        </w:tc>
        <w:tc>
          <w:tcPr>
            <w:tcW w:type="dxa" w:w="1234"/>
          </w:tcPr>
          <w:p>
            <w:r>
              <w:t>100% of in-scope vendors have complete mandatory fields</w:t>
            </w:r>
          </w:p>
        </w:tc>
        <w:tc>
          <w:tcPr>
            <w:tcW w:type="dxa" w:w="1234"/>
          </w:tcPr>
          <w:p>
            <w:r>
              <w:t>Not Started</w:t>
            </w:r>
          </w:p>
        </w:tc>
      </w:tr>
      <w:tr>
        <w:tc>
          <w:tcPr>
            <w:tcW w:type="dxa" w:w="1234"/>
          </w:tcPr>
          <w:p>
            <w:r>
              <w:t>VA-002</w:t>
            </w:r>
          </w:p>
        </w:tc>
        <w:tc>
          <w:tcPr>
            <w:tcW w:type="dxa" w:w="1234"/>
          </w:tcPr>
          <w:p>
            <w:r>
              <w:t>Establish a quarterly reconciliation between vendor inventory, procurement records, finance records, application inventory, and access records</w:t>
            </w:r>
          </w:p>
        </w:tc>
        <w:tc>
          <w:tcPr>
            <w:tcW w:type="dxa" w:w="1234"/>
          </w:tcPr>
          <w:p>
            <w:r>
              <w:t>High</w:t>
            </w:r>
          </w:p>
        </w:tc>
        <w:tc>
          <w:tcPr>
            <w:tcW w:type="dxa" w:w="1234"/>
          </w:tcPr>
          <w:p>
            <w:r>
              <w:t>[Owner]</w:t>
            </w:r>
          </w:p>
        </w:tc>
        <w:tc>
          <w:tcPr>
            <w:tcW w:type="dxa" w:w="1234"/>
          </w:tcPr>
          <w:p>
            <w:r>
              <w:t>[Date]</w:t>
            </w:r>
          </w:p>
        </w:tc>
        <w:tc>
          <w:tcPr>
            <w:tcW w:type="dxa" w:w="1234"/>
          </w:tcPr>
          <w:p>
            <w:r>
              <w:t>Reconciliation evidence retained for each quarter</w:t>
            </w:r>
          </w:p>
        </w:tc>
        <w:tc>
          <w:tcPr>
            <w:tcW w:type="dxa" w:w="1234"/>
          </w:tcPr>
          <w:p>
            <w:r>
              <w:t>Not Started</w:t>
            </w:r>
          </w:p>
        </w:tc>
      </w:tr>
      <w:tr>
        <w:tc>
          <w:tcPr>
            <w:tcW w:type="dxa" w:w="1234"/>
          </w:tcPr>
          <w:p>
            <w:r>
              <w:t>VA-003</w:t>
            </w:r>
          </w:p>
        </w:tc>
        <w:tc>
          <w:tcPr>
            <w:tcW w:type="dxa" w:w="1234"/>
          </w:tcPr>
          <w:p>
            <w:r>
              <w:t>Define required contract security terms by vendor risk tier</w:t>
            </w:r>
          </w:p>
        </w:tc>
        <w:tc>
          <w:tcPr>
            <w:tcW w:type="dxa" w:w="1234"/>
          </w:tcPr>
          <w:p>
            <w:r>
              <w:t>High</w:t>
            </w:r>
          </w:p>
        </w:tc>
        <w:tc>
          <w:tcPr>
            <w:tcW w:type="dxa" w:w="1234"/>
          </w:tcPr>
          <w:p>
            <w:r>
              <w:t>[Owner]</w:t>
            </w:r>
          </w:p>
        </w:tc>
        <w:tc>
          <w:tcPr>
            <w:tcW w:type="dxa" w:w="1234"/>
          </w:tcPr>
          <w:p>
            <w:r>
              <w:t>[Date]</w:t>
            </w:r>
          </w:p>
        </w:tc>
        <w:tc>
          <w:tcPr>
            <w:tcW w:type="dxa" w:w="1234"/>
          </w:tcPr>
          <w:p>
            <w:r>
              <w:t>Approved contract checklist available and used for new vendors</w:t>
            </w:r>
          </w:p>
        </w:tc>
        <w:tc>
          <w:tcPr>
            <w:tcW w:type="dxa" w:w="1234"/>
          </w:tcPr>
          <w:p>
            <w:r>
              <w:t>In Progress</w:t>
            </w:r>
          </w:p>
        </w:tc>
      </w:tr>
      <w:tr>
        <w:tc>
          <w:tcPr>
            <w:tcW w:type="dxa" w:w="1234"/>
          </w:tcPr>
          <w:p>
            <w:r>
              <w:t>VA-004</w:t>
            </w:r>
          </w:p>
        </w:tc>
        <w:tc>
          <w:tcPr>
            <w:tcW w:type="dxa" w:w="1234"/>
          </w:tcPr>
          <w:p>
            <w:r>
              <w:t>Review Critical and High-risk vendor contracts for missing security, confidentiality, incident notification, subcontractor, and data deletion terms</w:t>
            </w:r>
          </w:p>
        </w:tc>
        <w:tc>
          <w:tcPr>
            <w:tcW w:type="dxa" w:w="1234"/>
          </w:tcPr>
          <w:p>
            <w:r>
              <w:t>High</w:t>
            </w:r>
          </w:p>
        </w:tc>
        <w:tc>
          <w:tcPr>
            <w:tcW w:type="dxa" w:w="1234"/>
          </w:tcPr>
          <w:p>
            <w:r>
              <w:t>[Owner]</w:t>
            </w:r>
          </w:p>
        </w:tc>
        <w:tc>
          <w:tcPr>
            <w:tcW w:type="dxa" w:w="1234"/>
          </w:tcPr>
          <w:p>
            <w:r>
              <w:t>[Date]</w:t>
            </w:r>
          </w:p>
        </w:tc>
        <w:tc>
          <w:tcPr>
            <w:tcW w:type="dxa" w:w="1234"/>
          </w:tcPr>
          <w:p>
            <w:r>
              <w:t>Gap assessment completed and remediation plan approved</w:t>
            </w:r>
          </w:p>
        </w:tc>
        <w:tc>
          <w:tcPr>
            <w:tcW w:type="dxa" w:w="1234"/>
          </w:tcPr>
          <w:p>
            <w:r>
              <w:t>Not Started</w:t>
            </w:r>
          </w:p>
        </w:tc>
      </w:tr>
      <w:tr>
        <w:tc>
          <w:tcPr>
            <w:tcW w:type="dxa" w:w="1234"/>
          </w:tcPr>
          <w:p>
            <w:r>
              <w:t>VA-005</w:t>
            </w:r>
          </w:p>
        </w:tc>
        <w:tc>
          <w:tcPr>
            <w:tcW w:type="dxa" w:w="1234"/>
          </w:tcPr>
          <w:p>
            <w:r>
              <w:t>Implement automated reassessment reminders and escalation for overdue vendor reviews</w:t>
            </w:r>
          </w:p>
        </w:tc>
        <w:tc>
          <w:tcPr>
            <w:tcW w:type="dxa" w:w="1234"/>
          </w:tcPr>
          <w:p>
            <w:r>
              <w:t>Medium</w:t>
            </w:r>
          </w:p>
        </w:tc>
        <w:tc>
          <w:tcPr>
            <w:tcW w:type="dxa" w:w="1234"/>
          </w:tcPr>
          <w:p>
            <w:r>
              <w:t>[Owner]</w:t>
            </w:r>
          </w:p>
        </w:tc>
        <w:tc>
          <w:tcPr>
            <w:tcW w:type="dxa" w:w="1234"/>
          </w:tcPr>
          <w:p>
            <w:r>
              <w:t>[Date]</w:t>
            </w:r>
          </w:p>
        </w:tc>
        <w:tc>
          <w:tcPr>
            <w:tcW w:type="dxa" w:w="1234"/>
          </w:tcPr>
          <w:p>
            <w:r>
              <w:t>Reassessment workflow produces overdue reports</w:t>
            </w:r>
          </w:p>
        </w:tc>
        <w:tc>
          <w:tcPr>
            <w:tcW w:type="dxa" w:w="1234"/>
          </w:tcPr>
          <w:p>
            <w:r>
              <w:t>Not Started</w:t>
            </w:r>
          </w:p>
        </w:tc>
      </w:tr>
      <w:tr>
        <w:tc>
          <w:tcPr>
            <w:tcW w:type="dxa" w:w="1234"/>
          </w:tcPr>
          <w:p>
            <w:r>
              <w:t>VA-006</w:t>
            </w:r>
          </w:p>
        </w:tc>
        <w:tc>
          <w:tcPr>
            <w:tcW w:type="dxa" w:w="1234"/>
          </w:tcPr>
          <w:p>
            <w:r>
              <w:t>Create and use a standard assurance report review template</w:t>
            </w:r>
          </w:p>
        </w:tc>
        <w:tc>
          <w:tcPr>
            <w:tcW w:type="dxa" w:w="1234"/>
          </w:tcPr>
          <w:p>
            <w:r>
              <w:t>Medium</w:t>
            </w:r>
          </w:p>
        </w:tc>
        <w:tc>
          <w:tcPr>
            <w:tcW w:type="dxa" w:w="1234"/>
          </w:tcPr>
          <w:p>
            <w:r>
              <w:t>[Owner]</w:t>
            </w:r>
          </w:p>
        </w:tc>
        <w:tc>
          <w:tcPr>
            <w:tcW w:type="dxa" w:w="1234"/>
          </w:tcPr>
          <w:p>
            <w:r>
              <w:t>[Date]</w:t>
            </w:r>
          </w:p>
        </w:tc>
        <w:tc>
          <w:tcPr>
            <w:tcW w:type="dxa" w:w="1234"/>
          </w:tcPr>
          <w:p>
            <w:r>
              <w:t>All Critical and High-risk assurance reports reviewed using template</w:t>
            </w:r>
          </w:p>
        </w:tc>
        <w:tc>
          <w:tcPr>
            <w:tcW w:type="dxa" w:w="1234"/>
          </w:tcPr>
          <w:p>
            <w:r>
              <w:t>Not Started</w:t>
            </w:r>
          </w:p>
        </w:tc>
      </w:tr>
      <w:tr>
        <w:tc>
          <w:tcPr>
            <w:tcW w:type="dxa" w:w="1234"/>
          </w:tcPr>
          <w:p>
            <w:r>
              <w:t>VA-007</w:t>
            </w:r>
          </w:p>
        </w:tc>
        <w:tc>
          <w:tcPr>
            <w:tcW w:type="dxa" w:w="1234"/>
          </w:tcPr>
          <w:p>
            <w:r>
              <w:t>Implement vendor offboarding checklist and evidence retention requirements</w:t>
            </w:r>
          </w:p>
        </w:tc>
        <w:tc>
          <w:tcPr>
            <w:tcW w:type="dxa" w:w="1234"/>
          </w:tcPr>
          <w:p>
            <w:r>
              <w:t>Medium</w:t>
            </w:r>
          </w:p>
        </w:tc>
        <w:tc>
          <w:tcPr>
            <w:tcW w:type="dxa" w:w="1234"/>
          </w:tcPr>
          <w:p>
            <w:r>
              <w:t>[Owner]</w:t>
            </w:r>
          </w:p>
        </w:tc>
        <w:tc>
          <w:tcPr>
            <w:tcW w:type="dxa" w:w="1234"/>
          </w:tcPr>
          <w:p>
            <w:r>
              <w:t>[Date]</w:t>
            </w:r>
          </w:p>
        </w:tc>
        <w:tc>
          <w:tcPr>
            <w:tcW w:type="dxa" w:w="1234"/>
          </w:tcPr>
          <w:p>
            <w:r>
              <w:t>All terminated Medium, High, and Critical vendors have offboarding evidence</w:t>
            </w:r>
          </w:p>
        </w:tc>
        <w:tc>
          <w:tcPr>
            <w:tcW w:type="dxa" w:w="1234"/>
          </w:tcPr>
          <w:p>
            <w:r>
              <w:t>Not Started</w:t>
            </w:r>
          </w:p>
        </w:tc>
      </w:tr>
      <w:tr>
        <w:tc>
          <w:tcPr>
            <w:tcW w:type="dxa" w:w="1234"/>
          </w:tcPr>
          <w:p>
            <w:r>
              <w:t>VA-008</w:t>
            </w:r>
          </w:p>
        </w:tc>
        <w:tc>
          <w:tcPr>
            <w:tcW w:type="dxa" w:w="1234"/>
          </w:tcPr>
          <w:p>
            <w:r>
              <w:t>Track vendor-related risks and accepted exceptions in the risk register</w:t>
            </w:r>
          </w:p>
        </w:tc>
        <w:tc>
          <w:tcPr>
            <w:tcW w:type="dxa" w:w="1234"/>
          </w:tcPr>
          <w:p>
            <w:r>
              <w:t>Medium</w:t>
            </w:r>
          </w:p>
        </w:tc>
        <w:tc>
          <w:tcPr>
            <w:tcW w:type="dxa" w:w="1234"/>
          </w:tcPr>
          <w:p>
            <w:r>
              <w:t>[Owner]</w:t>
            </w:r>
          </w:p>
        </w:tc>
        <w:tc>
          <w:tcPr>
            <w:tcW w:type="dxa" w:w="1234"/>
          </w:tcPr>
          <w:p>
            <w:r>
              <w:t>[Date]</w:t>
            </w:r>
          </w:p>
        </w:tc>
        <w:tc>
          <w:tcPr>
            <w:tcW w:type="dxa" w:w="1234"/>
          </w:tcPr>
          <w:p>
            <w:r>
              <w:t>Vendor exceptions have owner, rationale, expiry date, and approval</w:t>
            </w:r>
          </w:p>
        </w:tc>
        <w:tc>
          <w:tcPr>
            <w:tcW w:type="dxa" w:w="1234"/>
          </w:tcPr>
          <w:p>
            <w:r>
              <w:t>Not Started</w:t>
            </w:r>
          </w:p>
        </w:tc>
      </w:tr>
      <w:tr>
        <w:tc>
          <w:tcPr>
            <w:tcW w:type="dxa" w:w="1234"/>
          </w:tcPr>
          <w:p>
            <w:r>
              <w:t>VA-009</w:t>
            </w:r>
          </w:p>
        </w:tc>
        <w:tc>
          <w:tcPr>
            <w:tcW w:type="dxa" w:w="1234"/>
          </w:tcPr>
          <w:p>
            <w:r>
              <w:t>Require business owner attestation for continued use of Critical and High-risk vendors</w:t>
            </w:r>
          </w:p>
        </w:tc>
        <w:tc>
          <w:tcPr>
            <w:tcW w:type="dxa" w:w="1234"/>
          </w:tcPr>
          <w:p>
            <w:r>
              <w:t>Medium</w:t>
            </w:r>
          </w:p>
        </w:tc>
        <w:tc>
          <w:tcPr>
            <w:tcW w:type="dxa" w:w="1234"/>
          </w:tcPr>
          <w:p>
            <w:r>
              <w:t>[Owner]</w:t>
            </w:r>
          </w:p>
        </w:tc>
        <w:tc>
          <w:tcPr>
            <w:tcW w:type="dxa" w:w="1234"/>
          </w:tcPr>
          <w:p>
            <w:r>
              <w:t>[Date]</w:t>
            </w:r>
          </w:p>
        </w:tc>
        <w:tc>
          <w:tcPr>
            <w:tcW w:type="dxa" w:w="1234"/>
          </w:tcPr>
          <w:p>
            <w:r>
              <w:t>Annual attestations retained for all applicable vendors</w:t>
            </w:r>
          </w:p>
        </w:tc>
        <w:tc>
          <w:tcPr>
            <w:tcW w:type="dxa" w:w="1234"/>
          </w:tcPr>
          <w:p>
            <w:r>
              <w:t>Not Started</w:t>
            </w:r>
          </w:p>
        </w:tc>
      </w:tr>
      <w:tr>
        <w:tc>
          <w:tcPr>
            <w:tcW w:type="dxa" w:w="1234"/>
          </w:tcPr>
          <w:p>
            <w:r>
              <w:t>VA-010</w:t>
            </w:r>
          </w:p>
        </w:tc>
        <w:tc>
          <w:tcPr>
            <w:tcW w:type="dxa" w:w="1234"/>
          </w:tcPr>
          <w:p>
            <w:r>
              <w:t>Review subcontractor disclosures for Critical and High-risk vendors</w:t>
            </w:r>
          </w:p>
        </w:tc>
        <w:tc>
          <w:tcPr>
            <w:tcW w:type="dxa" w:w="1234"/>
          </w:tcPr>
          <w:p>
            <w:r>
              <w:t>Medium</w:t>
            </w:r>
          </w:p>
        </w:tc>
        <w:tc>
          <w:tcPr>
            <w:tcW w:type="dxa" w:w="1234"/>
          </w:tcPr>
          <w:p>
            <w:r>
              <w:t>[Owner]</w:t>
            </w:r>
          </w:p>
        </w:tc>
        <w:tc>
          <w:tcPr>
            <w:tcW w:type="dxa" w:w="1234"/>
          </w:tcPr>
          <w:p>
            <w:r>
              <w:t>[Date]</w:t>
            </w:r>
          </w:p>
        </w:tc>
        <w:tc>
          <w:tcPr>
            <w:tcW w:type="dxa" w:w="1234"/>
          </w:tcPr>
          <w:p>
            <w:r>
              <w:t>Subcontractor risk review documented for applicable vendors</w:t>
            </w:r>
          </w:p>
        </w:tc>
        <w:tc>
          <w:tcPr>
            <w:tcW w:type="dxa" w:w="1234"/>
          </w:tcPr>
          <w:p>
            <w:r>
              <w:t>Not Started</w:t>
            </w:r>
          </w:p>
        </w:tc>
      </w:tr>
    </w:tbl>
    <w:p>
      <w:pPr>
        <w:pStyle w:val="Heading3"/>
      </w:pPr>
      <w:r>
        <w:t>Recommended Vendor Review Cadence</w:t>
      </w:r>
    </w:p>
    <w:tbl>
      <w:tblPr>
        <w:tblStyle w:val="TableGrid"/>
        <w:tblW w:type="auto" w:w="0"/>
        <w:tblLook w:firstColumn="1" w:firstRow="1" w:lastColumn="0" w:lastRow="0" w:noHBand="0" w:noVBand="1" w:val="04A0"/>
      </w:tblPr>
      <w:tblGrid>
        <w:gridCol w:w="2880"/>
        <w:gridCol w:w="2880"/>
        <w:gridCol w:w="2880"/>
      </w:tblGrid>
      <w:tr>
        <w:tc>
          <w:tcPr>
            <w:tcW w:type="dxa" w:w="2880"/>
          </w:tcPr>
          <w:p>
            <w:r>
              <w:t>Vendor Tier</w:t>
            </w:r>
          </w:p>
        </w:tc>
        <w:tc>
          <w:tcPr>
            <w:tcW w:type="dxa" w:w="2880"/>
          </w:tcPr>
          <w:p>
            <w:r>
              <w:t>Minimum Review Frequency</w:t>
            </w:r>
          </w:p>
        </w:tc>
        <w:tc>
          <w:tcPr>
            <w:tcW w:type="dxa" w:w="2880"/>
          </w:tcPr>
          <w:p>
            <w:r>
              <w:t>Review Triggers</w:t>
            </w:r>
          </w:p>
        </w:tc>
      </w:tr>
      <w:tr>
        <w:tc>
          <w:tcPr>
            <w:tcW w:type="dxa" w:w="2880"/>
          </w:tcPr>
          <w:p>
            <w:r>
              <w:t>Critical</w:t>
            </w:r>
          </w:p>
        </w:tc>
        <w:tc>
          <w:tcPr>
            <w:tcW w:type="dxa" w:w="2880"/>
          </w:tcPr>
          <w:p>
            <w:r>
              <w:t>At onboarding and at least annually</w:t>
            </w:r>
          </w:p>
        </w:tc>
        <w:tc>
          <w:tcPr>
            <w:tcW w:type="dxa" w:w="2880"/>
          </w:tcPr>
          <w:p>
            <w:r>
              <w:t>Security incident, major service change, new data type, contract renewal, material outage, change in subcontractors</w:t>
            </w:r>
          </w:p>
        </w:tc>
      </w:tr>
      <w:tr>
        <w:tc>
          <w:tcPr>
            <w:tcW w:type="dxa" w:w="2880"/>
          </w:tcPr>
          <w:p>
            <w:r>
              <w:t>High</w:t>
            </w:r>
          </w:p>
        </w:tc>
        <w:tc>
          <w:tcPr>
            <w:tcW w:type="dxa" w:w="2880"/>
          </w:tcPr>
          <w:p>
            <w:r>
              <w:t>At onboarding and periodically based on risk, not less than every [period]</w:t>
            </w:r>
          </w:p>
        </w:tc>
        <w:tc>
          <w:tcPr>
            <w:tcW w:type="dxa" w:w="2880"/>
          </w:tcPr>
          <w:p>
            <w:r>
              <w:t>New integration, increased data exposure, contract renewal, security concern, business owner request</w:t>
            </w:r>
          </w:p>
        </w:tc>
      </w:tr>
      <w:tr>
        <w:tc>
          <w:tcPr>
            <w:tcW w:type="dxa" w:w="2880"/>
          </w:tcPr>
          <w:p>
            <w:r>
              <w:t>Medium</w:t>
            </w:r>
          </w:p>
        </w:tc>
        <w:tc>
          <w:tcPr>
            <w:tcW w:type="dxa" w:w="2880"/>
          </w:tcPr>
          <w:p>
            <w:r>
              <w:t>At onboarding and periodically based on risk</w:t>
            </w:r>
          </w:p>
        </w:tc>
        <w:tc>
          <w:tcPr>
            <w:tcW w:type="dxa" w:w="2880"/>
          </w:tcPr>
          <w:p>
            <w:r>
              <w:t>Material change in service use, new sensitive data, renewal, reported incident</w:t>
            </w:r>
          </w:p>
        </w:tc>
      </w:tr>
      <w:tr>
        <w:tc>
          <w:tcPr>
            <w:tcW w:type="dxa" w:w="2880"/>
          </w:tcPr>
          <w:p>
            <w:r>
              <w:t>Low</w:t>
            </w:r>
          </w:p>
        </w:tc>
        <w:tc>
          <w:tcPr>
            <w:tcW w:type="dxa" w:w="2880"/>
          </w:tcPr>
          <w:p>
            <w:r>
              <w:t>Basic review at onboarding; reassess if use changes</w:t>
            </w:r>
          </w:p>
        </w:tc>
        <w:tc>
          <w:tcPr>
            <w:tcW w:type="dxa" w:w="2880"/>
          </w:tcPr>
          <w:p>
            <w:r>
              <w:t>Change in access, data exposure, or service criticality</w:t>
            </w:r>
          </w:p>
        </w:tc>
      </w:tr>
    </w:tbl>
    <w:p>
      <w:pPr>
        <w:pStyle w:val="Heading3"/>
      </w:pPr>
      <w:r>
        <w:t>Required Evidence Going Forward</w:t>
      </w:r>
    </w:p>
    <w:p>
      <w:r>
        <w:t>For audit readiness and consistent risk management, each in-scope vendor record should include the following evidence where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Item</w:t>
            </w:r>
          </w:p>
        </w:tc>
        <w:tc>
          <w:tcPr>
            <w:tcW w:type="dxa" w:w="1728"/>
          </w:tcPr>
          <w:p>
            <w:r>
              <w:t>Critical</w:t>
            </w:r>
          </w:p>
        </w:tc>
        <w:tc>
          <w:tcPr>
            <w:tcW w:type="dxa" w:w="1728"/>
          </w:tcPr>
          <w:p>
            <w:r>
              <w:t>High</w:t>
            </w:r>
          </w:p>
        </w:tc>
        <w:tc>
          <w:tcPr>
            <w:tcW w:type="dxa" w:w="1728"/>
          </w:tcPr>
          <w:p>
            <w:r>
              <w:t>Medium</w:t>
            </w:r>
          </w:p>
        </w:tc>
        <w:tc>
          <w:tcPr>
            <w:tcW w:type="dxa" w:w="1728"/>
          </w:tcPr>
          <w:p>
            <w:r>
              <w:t>Low</w:t>
            </w:r>
          </w:p>
        </w:tc>
      </w:tr>
      <w:tr>
        <w:tc>
          <w:tcPr>
            <w:tcW w:type="dxa" w:w="1728"/>
          </w:tcPr>
          <w:p>
            <w:r>
              <w:t>Business owner approval</w:t>
            </w:r>
          </w:p>
        </w:tc>
        <w:tc>
          <w:tcPr>
            <w:tcW w:type="dxa" w:w="1728"/>
          </w:tcPr>
          <w:p>
            <w:r>
              <w:t>Required</w:t>
            </w:r>
          </w:p>
        </w:tc>
        <w:tc>
          <w:tcPr>
            <w:tcW w:type="dxa" w:w="1728"/>
          </w:tcPr>
          <w:p>
            <w:r>
              <w:t>Required</w:t>
            </w:r>
          </w:p>
        </w:tc>
        <w:tc>
          <w:tcPr>
            <w:tcW w:type="dxa" w:w="1728"/>
          </w:tcPr>
          <w:p>
            <w:r>
              <w:t>Required</w:t>
            </w:r>
          </w:p>
        </w:tc>
        <w:tc>
          <w:tcPr>
            <w:tcW w:type="dxa" w:w="1728"/>
          </w:tcPr>
          <w:p>
            <w:r>
              <w:t>Recommended</w:t>
            </w:r>
          </w:p>
        </w:tc>
      </w:tr>
      <w:tr>
        <w:tc>
          <w:tcPr>
            <w:tcW w:type="dxa" w:w="1728"/>
          </w:tcPr>
          <w:p>
            <w:r>
              <w:t>Risk tier rationale</w:t>
            </w:r>
          </w:p>
        </w:tc>
        <w:tc>
          <w:tcPr>
            <w:tcW w:type="dxa" w:w="1728"/>
          </w:tcPr>
          <w:p>
            <w:r>
              <w:t>Required</w:t>
            </w:r>
          </w:p>
        </w:tc>
        <w:tc>
          <w:tcPr>
            <w:tcW w:type="dxa" w:w="1728"/>
          </w:tcPr>
          <w:p>
            <w:r>
              <w:t>Required</w:t>
            </w:r>
          </w:p>
        </w:tc>
        <w:tc>
          <w:tcPr>
            <w:tcW w:type="dxa" w:w="1728"/>
          </w:tcPr>
          <w:p>
            <w:r>
              <w:t>Required</w:t>
            </w:r>
          </w:p>
        </w:tc>
        <w:tc>
          <w:tcPr>
            <w:tcW w:type="dxa" w:w="1728"/>
          </w:tcPr>
          <w:p>
            <w:r>
              <w:t>Basic</w:t>
            </w:r>
          </w:p>
        </w:tc>
      </w:tr>
      <w:tr>
        <w:tc>
          <w:tcPr>
            <w:tcW w:type="dxa" w:w="1728"/>
          </w:tcPr>
          <w:p>
            <w:r>
              <w:t>Data classification and access description</w:t>
            </w:r>
          </w:p>
        </w:tc>
        <w:tc>
          <w:tcPr>
            <w:tcW w:type="dxa" w:w="1728"/>
          </w:tcPr>
          <w:p>
            <w:r>
              <w:t>Required</w:t>
            </w:r>
          </w:p>
        </w:tc>
        <w:tc>
          <w:tcPr>
            <w:tcW w:type="dxa" w:w="1728"/>
          </w:tcPr>
          <w:p>
            <w:r>
              <w:t>Required</w:t>
            </w:r>
          </w:p>
        </w:tc>
        <w:tc>
          <w:tcPr>
            <w:tcW w:type="dxa" w:w="1728"/>
          </w:tcPr>
          <w:p>
            <w:r>
              <w:t>Required</w:t>
            </w:r>
          </w:p>
        </w:tc>
        <w:tc>
          <w:tcPr>
            <w:tcW w:type="dxa" w:w="1728"/>
          </w:tcPr>
          <w:p>
            <w:r>
              <w:t>Basic</w:t>
            </w:r>
          </w:p>
        </w:tc>
      </w:tr>
      <w:tr>
        <w:tc>
          <w:tcPr>
            <w:tcW w:type="dxa" w:w="1728"/>
          </w:tcPr>
          <w:p>
            <w:r>
              <w:t>Security questionnaire or equivalent</w:t>
            </w:r>
          </w:p>
        </w:tc>
        <w:tc>
          <w:tcPr>
            <w:tcW w:type="dxa" w:w="1728"/>
          </w:tcPr>
          <w:p>
            <w:r>
              <w:t>Required</w:t>
            </w:r>
          </w:p>
        </w:tc>
        <w:tc>
          <w:tcPr>
            <w:tcW w:type="dxa" w:w="1728"/>
          </w:tcPr>
          <w:p>
            <w:r>
              <w:t>Required</w:t>
            </w:r>
          </w:p>
        </w:tc>
        <w:tc>
          <w:tcPr>
            <w:tcW w:type="dxa" w:w="1728"/>
          </w:tcPr>
          <w:p>
            <w:r>
              <w:t>Risk-based</w:t>
            </w:r>
          </w:p>
        </w:tc>
        <w:tc>
          <w:tcPr>
            <w:tcW w:type="dxa" w:w="1728"/>
          </w:tcPr>
          <w:p>
            <w:r>
              <w:t>Not usually required</w:t>
            </w:r>
          </w:p>
        </w:tc>
      </w:tr>
      <w:tr>
        <w:tc>
          <w:tcPr>
            <w:tcW w:type="dxa" w:w="1728"/>
          </w:tcPr>
          <w:p>
            <w:r>
              <w:t>Independent assurance report or equivalent assurance evidence</w:t>
            </w:r>
          </w:p>
        </w:tc>
        <w:tc>
          <w:tcPr>
            <w:tcW w:type="dxa" w:w="1728"/>
          </w:tcPr>
          <w:p>
            <w:r>
              <w:t>Required where available</w:t>
            </w:r>
          </w:p>
        </w:tc>
        <w:tc>
          <w:tcPr>
            <w:tcW w:type="dxa" w:w="1728"/>
          </w:tcPr>
          <w:p>
            <w:r>
              <w:t>Required where available</w:t>
            </w:r>
          </w:p>
        </w:tc>
        <w:tc>
          <w:tcPr>
            <w:tcW w:type="dxa" w:w="1728"/>
          </w:tcPr>
          <w:p>
            <w:r>
              <w:t>Risk-based</w:t>
            </w:r>
          </w:p>
        </w:tc>
        <w:tc>
          <w:tcPr>
            <w:tcW w:type="dxa" w:w="1728"/>
          </w:tcPr>
          <w:p>
            <w:r>
              <w:t>Not usually required</w:t>
            </w:r>
          </w:p>
        </w:tc>
      </w:tr>
      <w:tr>
        <w:tc>
          <w:tcPr>
            <w:tcW w:type="dxa" w:w="1728"/>
          </w:tcPr>
          <w:p>
            <w:r>
              <w:t>Contract and security terms review</w:t>
            </w:r>
          </w:p>
        </w:tc>
        <w:tc>
          <w:tcPr>
            <w:tcW w:type="dxa" w:w="1728"/>
          </w:tcPr>
          <w:p>
            <w:r>
              <w:t>Required</w:t>
            </w:r>
          </w:p>
        </w:tc>
        <w:tc>
          <w:tcPr>
            <w:tcW w:type="dxa" w:w="1728"/>
          </w:tcPr>
          <w:p>
            <w:r>
              <w:t>Required</w:t>
            </w:r>
          </w:p>
        </w:tc>
        <w:tc>
          <w:tcPr>
            <w:tcW w:type="dxa" w:w="1728"/>
          </w:tcPr>
          <w:p>
            <w:r>
              <w:t>Risk-based</w:t>
            </w:r>
          </w:p>
        </w:tc>
        <w:tc>
          <w:tcPr>
            <w:tcW w:type="dxa" w:w="1728"/>
          </w:tcPr>
          <w:p>
            <w:r>
              <w:t>Basic</w:t>
            </w:r>
          </w:p>
        </w:tc>
      </w:tr>
      <w:tr>
        <w:tc>
          <w:tcPr>
            <w:tcW w:type="dxa" w:w="1728"/>
          </w:tcPr>
          <w:p>
            <w:r>
              <w:t>Data processing terms where personal data is involved</w:t>
            </w:r>
          </w:p>
        </w:tc>
        <w:tc>
          <w:tcPr>
            <w:tcW w:type="dxa" w:w="1728"/>
          </w:tcPr>
          <w:p>
            <w:r>
              <w:t>Required</w:t>
            </w:r>
          </w:p>
        </w:tc>
        <w:tc>
          <w:tcPr>
            <w:tcW w:type="dxa" w:w="1728"/>
          </w:tcPr>
          <w:p>
            <w:r>
              <w:t>Required</w:t>
            </w:r>
          </w:p>
        </w:tc>
        <w:tc>
          <w:tcPr>
            <w:tcW w:type="dxa" w:w="1728"/>
          </w:tcPr>
          <w:p>
            <w:r>
              <w:t>Required</w:t>
            </w:r>
          </w:p>
        </w:tc>
        <w:tc>
          <w:tcPr>
            <w:tcW w:type="dxa" w:w="1728"/>
          </w:tcPr>
          <w:p>
            <w:r>
              <w:t>Required where applicable</w:t>
            </w:r>
          </w:p>
        </w:tc>
      </w:tr>
      <w:tr>
        <w:tc>
          <w:tcPr>
            <w:tcW w:type="dxa" w:w="1728"/>
          </w:tcPr>
          <w:p>
            <w:r>
              <w:t>Access review evidence</w:t>
            </w:r>
          </w:p>
        </w:tc>
        <w:tc>
          <w:tcPr>
            <w:tcW w:type="dxa" w:w="1728"/>
          </w:tcPr>
          <w:p>
            <w:r>
              <w:t>Required where access exists</w:t>
            </w:r>
          </w:p>
        </w:tc>
        <w:tc>
          <w:tcPr>
            <w:tcW w:type="dxa" w:w="1728"/>
          </w:tcPr>
          <w:p>
            <w:r>
              <w:t>Required where access exists</w:t>
            </w:r>
          </w:p>
        </w:tc>
        <w:tc>
          <w:tcPr>
            <w:tcW w:type="dxa" w:w="1728"/>
          </w:tcPr>
          <w:p>
            <w:r>
              <w:t>Required where access exists</w:t>
            </w:r>
          </w:p>
        </w:tc>
        <w:tc>
          <w:tcPr>
            <w:tcW w:type="dxa" w:w="1728"/>
          </w:tcPr>
          <w:p>
            <w:r>
              <w:t>Risk-based</w:t>
            </w:r>
          </w:p>
        </w:tc>
      </w:tr>
      <w:tr>
        <w:tc>
          <w:tcPr>
            <w:tcW w:type="dxa" w:w="1728"/>
          </w:tcPr>
          <w:p>
            <w:r>
              <w:t>Reassessment record</w:t>
            </w:r>
          </w:p>
        </w:tc>
        <w:tc>
          <w:tcPr>
            <w:tcW w:type="dxa" w:w="1728"/>
          </w:tcPr>
          <w:p>
            <w:r>
              <w:t>Required</w:t>
            </w:r>
          </w:p>
        </w:tc>
        <w:tc>
          <w:tcPr>
            <w:tcW w:type="dxa" w:w="1728"/>
          </w:tcPr>
          <w:p>
            <w:r>
              <w:t>Required</w:t>
            </w:r>
          </w:p>
        </w:tc>
        <w:tc>
          <w:tcPr>
            <w:tcW w:type="dxa" w:w="1728"/>
          </w:tcPr>
          <w:p>
            <w:r>
              <w:t>Risk-based</w:t>
            </w:r>
          </w:p>
        </w:tc>
        <w:tc>
          <w:tcPr>
            <w:tcW w:type="dxa" w:w="1728"/>
          </w:tcPr>
          <w:p>
            <w:r>
              <w:t>Not usually required</w:t>
            </w:r>
          </w:p>
        </w:tc>
      </w:tr>
      <w:tr>
        <w:tc>
          <w:tcPr>
            <w:tcW w:type="dxa" w:w="1728"/>
          </w:tcPr>
          <w:p>
            <w:r>
              <w:t>Offboarding evidence</w:t>
            </w:r>
          </w:p>
        </w:tc>
        <w:tc>
          <w:tcPr>
            <w:tcW w:type="dxa" w:w="1728"/>
          </w:tcPr>
          <w:p>
            <w:r>
              <w:t>Required</w:t>
            </w:r>
          </w:p>
        </w:tc>
        <w:tc>
          <w:tcPr>
            <w:tcW w:type="dxa" w:w="1728"/>
          </w:tcPr>
          <w:p>
            <w:r>
              <w:t>Required</w:t>
            </w:r>
          </w:p>
        </w:tc>
        <w:tc>
          <w:tcPr>
            <w:tcW w:type="dxa" w:w="1728"/>
          </w:tcPr>
          <w:p>
            <w:r>
              <w:t>Required where access or data exists</w:t>
            </w:r>
          </w:p>
        </w:tc>
        <w:tc>
          <w:tcPr>
            <w:tcW w:type="dxa" w:w="1728"/>
          </w:tcPr>
          <w:p>
            <w:r>
              <w:t>Risk-based</w:t>
            </w:r>
          </w:p>
        </w:tc>
      </w:tr>
    </w:tbl>
    <w:p>
      <w:pPr>
        <w:pStyle w:val="Heading3"/>
      </w:pPr>
      <w:r>
        <w:t>Risk Acceptance Requirements</w:t>
      </w:r>
    </w:p>
    <w:p>
      <w:r>
        <w:t>Where remediation cannot be completed within the target timeframe, a formal risk acceptance is required. Risk acceptances must include:</w:t>
      </w:r>
    </w:p>
    <w:p>
      <w:pPr>
        <w:pStyle w:val="ListBullet"/>
      </w:pPr>
      <w:r>
        <w:t>Description of the vendor risk.</w:t>
      </w:r>
    </w:p>
    <w:p>
      <w:pPr>
        <w:pStyle w:val="ListBullet"/>
      </w:pPr>
      <w:r>
        <w:t>Business justification for continued use.</w:t>
      </w:r>
    </w:p>
    <w:p>
      <w:pPr>
        <w:pStyle w:val="ListBullet"/>
      </w:pPr>
      <w:r>
        <w:t>Affected systems, data, customers, or services.</w:t>
      </w:r>
    </w:p>
    <w:p>
      <w:pPr>
        <w:pStyle w:val="ListBullet"/>
      </w:pPr>
      <w:r>
        <w:t>Existing compensating controls.</w:t>
      </w:r>
    </w:p>
    <w:p>
      <w:pPr>
        <w:pStyle w:val="ListBullet"/>
      </w:pPr>
      <w:r>
        <w:t>Residual risk rating.</w:t>
      </w:r>
    </w:p>
    <w:p>
      <w:pPr>
        <w:pStyle w:val="ListBullet"/>
      </w:pPr>
      <w:r>
        <w:t>Expiration or review date.</w:t>
      </w:r>
    </w:p>
    <w:p>
      <w:pPr>
        <w:pStyle w:val="ListBullet"/>
      </w:pPr>
      <w:r>
        <w:t>Approval by the appropriate risk owner.</w:t>
      </w:r>
    </w:p>
    <w:p>
      <w:pPr>
        <w:pStyle w:val="ListBullet"/>
      </w:pPr>
      <w:r>
        <w:t>Planned remediation or exit strategy where applicable.</w:t>
      </w:r>
    </w:p>
    <w:p>
      <w:r>
        <w:t>Risk acceptance should not be open-ended and should be reviewed before expiration.</w:t>
      </w:r>
    </w:p>
    <w:p>
      <w:pPr>
        <w:pStyle w:val="Heading3"/>
      </w:pPr>
      <w:r>
        <w:t>Follow-Up and Validation</w:t>
      </w:r>
    </w:p>
    <w:p>
      <w:r>
        <w:t>The Vendor Risk Management Owner will track remediation actions to closure and provide status updates to [Risk Committee / Security Leadership / Executive Sponsor] at least [monthly/quarterly] until High-priority actions are completed.</w:t>
      </w:r>
    </w:p>
    <w:p>
      <w:r>
        <w:t>Validation will include:</w:t>
      </w:r>
    </w:p>
    <w:p>
      <w:pPr>
        <w:pStyle w:val="ListBullet"/>
      </w:pPr>
      <w:r>
        <w:t>Review of updated inventory records.</w:t>
      </w:r>
    </w:p>
    <w:p>
      <w:pPr>
        <w:pStyle w:val="ListBullet"/>
      </w:pPr>
      <w:r>
        <w:t>Sampling of vendor files for required evidence.</w:t>
      </w:r>
    </w:p>
    <w:p>
      <w:pPr>
        <w:pStyle w:val="ListBullet"/>
      </w:pPr>
      <w:r>
        <w:t>Confirmation that contract review checkpoints are operating.</w:t>
      </w:r>
    </w:p>
    <w:p>
      <w:pPr>
        <w:pStyle w:val="ListBullet"/>
      </w:pPr>
      <w:r>
        <w:t>Verification of reassessment workflow and overdue reporting.</w:t>
      </w:r>
    </w:p>
    <w:p>
      <w:pPr>
        <w:pStyle w:val="ListBullet"/>
      </w:pPr>
      <w:r>
        <w:t>Testing of offboarding evidence for terminated vendors.</w:t>
      </w:r>
    </w:p>
    <w:p>
      <w:pPr>
        <w:pStyle w:val="ListBullet"/>
      </w:pPr>
      <w:r>
        <w:t>Review of risk acceptances for completeness and approval.</w:t>
      </w:r>
    </w:p>
    <w:p>
      <w:pPr>
        <w:pStyle w:val="Heading3"/>
      </w:pPr>
      <w:r>
        <w:t>Target Remediation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Responsible Party</w:t>
            </w:r>
          </w:p>
        </w:tc>
      </w:tr>
      <w:tr>
        <w:tc>
          <w:tcPr>
            <w:tcW w:type="dxa" w:w="2880"/>
          </w:tcPr>
          <w:p>
            <w:r>
              <w:t>Approve vendor inventory data standard</w:t>
            </w:r>
          </w:p>
        </w:tc>
        <w:tc>
          <w:tcPr>
            <w:tcW w:type="dxa" w:w="2880"/>
          </w:tcPr>
          <w:p>
            <w:r>
              <w:t>[Date]</w:t>
            </w:r>
          </w:p>
        </w:tc>
        <w:tc>
          <w:tcPr>
            <w:tcW w:type="dxa" w:w="2880"/>
          </w:tcPr>
          <w:p>
            <w:r>
              <w:t>[Owner]</w:t>
            </w:r>
          </w:p>
        </w:tc>
      </w:tr>
      <w:tr>
        <w:tc>
          <w:tcPr>
            <w:tcW w:type="dxa" w:w="2880"/>
          </w:tcPr>
          <w:p>
            <w:r>
              <w:t>Complete inventory cleanup for Critical and High-risk vendors</w:t>
            </w:r>
          </w:p>
        </w:tc>
        <w:tc>
          <w:tcPr>
            <w:tcW w:type="dxa" w:w="2880"/>
          </w:tcPr>
          <w:p>
            <w:r>
              <w:t>[Date]</w:t>
            </w:r>
          </w:p>
        </w:tc>
        <w:tc>
          <w:tcPr>
            <w:tcW w:type="dxa" w:w="2880"/>
          </w:tcPr>
          <w:p>
            <w:r>
              <w:t>[Owner]</w:t>
            </w:r>
          </w:p>
        </w:tc>
      </w:tr>
      <w:tr>
        <w:tc>
          <w:tcPr>
            <w:tcW w:type="dxa" w:w="2880"/>
          </w:tcPr>
          <w:p>
            <w:r>
              <w:t>Complete contract gap review for Critical vendors</w:t>
            </w:r>
          </w:p>
        </w:tc>
        <w:tc>
          <w:tcPr>
            <w:tcW w:type="dxa" w:w="2880"/>
          </w:tcPr>
          <w:p>
            <w:r>
              <w:t>[Date]</w:t>
            </w:r>
          </w:p>
        </w:tc>
        <w:tc>
          <w:tcPr>
            <w:tcW w:type="dxa" w:w="2880"/>
          </w:tcPr>
          <w:p>
            <w:r>
              <w:t>[Owner]</w:t>
            </w:r>
          </w:p>
        </w:tc>
      </w:tr>
      <w:tr>
        <w:tc>
          <w:tcPr>
            <w:tcW w:type="dxa" w:w="2880"/>
          </w:tcPr>
          <w:p>
            <w:r>
              <w:t>Implement assurance report review template</w:t>
            </w:r>
          </w:p>
        </w:tc>
        <w:tc>
          <w:tcPr>
            <w:tcW w:type="dxa" w:w="2880"/>
          </w:tcPr>
          <w:p>
            <w:r>
              <w:t>[Date]</w:t>
            </w:r>
          </w:p>
        </w:tc>
        <w:tc>
          <w:tcPr>
            <w:tcW w:type="dxa" w:w="2880"/>
          </w:tcPr>
          <w:p>
            <w:r>
              <w:t>[Owner]</w:t>
            </w:r>
          </w:p>
        </w:tc>
      </w:tr>
      <w:tr>
        <w:tc>
          <w:tcPr>
            <w:tcW w:type="dxa" w:w="2880"/>
          </w:tcPr>
          <w:p>
            <w:r>
              <w:t>Implement reassessment workflow</w:t>
            </w:r>
          </w:p>
        </w:tc>
        <w:tc>
          <w:tcPr>
            <w:tcW w:type="dxa" w:w="2880"/>
          </w:tcPr>
          <w:p>
            <w:r>
              <w:t>[Date]</w:t>
            </w:r>
          </w:p>
        </w:tc>
        <w:tc>
          <w:tcPr>
            <w:tcW w:type="dxa" w:w="2880"/>
          </w:tcPr>
          <w:p>
            <w:r>
              <w:t>[Owner]</w:t>
            </w:r>
          </w:p>
        </w:tc>
      </w:tr>
      <w:tr>
        <w:tc>
          <w:tcPr>
            <w:tcW w:type="dxa" w:w="2880"/>
          </w:tcPr>
          <w:p>
            <w:r>
              <w:t>Complete offboarding checklist rollout</w:t>
            </w:r>
          </w:p>
        </w:tc>
        <w:tc>
          <w:tcPr>
            <w:tcW w:type="dxa" w:w="2880"/>
          </w:tcPr>
          <w:p>
            <w:r>
              <w:t>[Date]</w:t>
            </w:r>
          </w:p>
        </w:tc>
        <w:tc>
          <w:tcPr>
            <w:tcW w:type="dxa" w:w="2880"/>
          </w:tcPr>
          <w:p>
            <w:r>
              <w:t>[Owner]</w:t>
            </w:r>
          </w:p>
        </w:tc>
      </w:tr>
      <w:tr>
        <w:tc>
          <w:tcPr>
            <w:tcW w:type="dxa" w:w="2880"/>
          </w:tcPr>
          <w:p>
            <w:r>
              <w:t>Complete first quarterly inventory reconciliation</w:t>
            </w:r>
          </w:p>
        </w:tc>
        <w:tc>
          <w:tcPr>
            <w:tcW w:type="dxa" w:w="2880"/>
          </w:tcPr>
          <w:p>
            <w:r>
              <w:t>[Date]</w:t>
            </w:r>
          </w:p>
        </w:tc>
        <w:tc>
          <w:tcPr>
            <w:tcW w:type="dxa" w:w="2880"/>
          </w:tcPr>
          <w:p>
            <w:r>
              <w:t>[Owner]</w:t>
            </w:r>
          </w:p>
        </w:tc>
      </w:tr>
      <w:tr>
        <w:tc>
          <w:tcPr>
            <w:tcW w:type="dxa" w:w="2880"/>
          </w:tcPr>
          <w:p>
            <w:r>
              <w:t>Report remediation status to management</w:t>
            </w:r>
          </w:p>
        </w:tc>
        <w:tc>
          <w:tcPr>
            <w:tcW w:type="dxa" w:w="2880"/>
          </w:tcPr>
          <w:p>
            <w:r>
              <w:t>[Date]</w:t>
            </w:r>
          </w:p>
        </w:tc>
        <w:tc>
          <w:tcPr>
            <w:tcW w:type="dxa" w:w="2880"/>
          </w:tcPr>
          <w:p>
            <w:r>
              <w:t>[Owner]</w:t>
            </w:r>
          </w:p>
        </w:tc>
      </w:tr>
    </w:tbl>
    <w:p>
      <w:pPr>
        <w:pStyle w:val="Heading2"/>
      </w:pPr>
      <w:r>
        <w:t>Distribution &amp; Confidentiality</w:t>
      </w:r>
    </w:p>
    <w:p>
      <w:r>
        <w:t>This report is classified as Confidential - Internal Use Only. It contains sensitive information about vendors, systems, data exposure, contracts, security evidence, and risk decisions. Unauthorized disclosure may increase security, contractual, operational, or legal risk.</w:t>
      </w:r>
    </w:p>
    <w:p>
      <w:pPr>
        <w:pStyle w:val="Heading3"/>
      </w:pPr>
      <w:r>
        <w:t>Approved Distribution</w:t>
      </w:r>
    </w:p>
    <w:p>
      <w:r>
        <w:t>This report may be distributed to:</w:t>
      </w:r>
    </w:p>
    <w:tbl>
      <w:tblPr>
        <w:tblStyle w:val="TableGrid"/>
        <w:tblW w:type="auto" w:w="0"/>
        <w:tblLook w:firstColumn="1" w:firstRow="1" w:lastColumn="0" w:lastRow="0" w:noHBand="0" w:noVBand="1" w:val="04A0"/>
      </w:tblPr>
      <w:tblGrid>
        <w:gridCol w:w="4320"/>
        <w:gridCol w:w="4320"/>
      </w:tblGrid>
      <w:tr>
        <w:tc>
          <w:tcPr>
            <w:tcW w:type="dxa" w:w="4320"/>
          </w:tcPr>
          <w:p>
            <w:r>
              <w:t>Audience</w:t>
            </w:r>
          </w:p>
        </w:tc>
        <w:tc>
          <w:tcPr>
            <w:tcW w:type="dxa" w:w="4320"/>
          </w:tcPr>
          <w:p>
            <w:r>
              <w:t>Purpose</w:t>
            </w:r>
          </w:p>
        </w:tc>
      </w:tr>
      <w:tr>
        <w:tc>
          <w:tcPr>
            <w:tcW w:type="dxa" w:w="4320"/>
          </w:tcPr>
          <w:p>
            <w:r>
              <w:t>Executive management</w:t>
            </w:r>
          </w:p>
        </w:tc>
        <w:tc>
          <w:tcPr>
            <w:tcW w:type="dxa" w:w="4320"/>
          </w:tcPr>
          <w:p>
            <w:r>
              <w:t>Oversight of vendor risk and remediation priorities</w:t>
            </w:r>
          </w:p>
        </w:tc>
      </w:tr>
      <w:tr>
        <w:tc>
          <w:tcPr>
            <w:tcW w:type="dxa" w:w="4320"/>
          </w:tcPr>
          <w:p>
            <w:r>
              <w:t>Security leadership</w:t>
            </w:r>
          </w:p>
        </w:tc>
        <w:tc>
          <w:tcPr>
            <w:tcW w:type="dxa" w:w="4320"/>
          </w:tcPr>
          <w:p>
            <w:r>
              <w:t>Control monitoring and risk treatment</w:t>
            </w:r>
          </w:p>
        </w:tc>
      </w:tr>
      <w:tr>
        <w:tc>
          <w:tcPr>
            <w:tcW w:type="dxa" w:w="4320"/>
          </w:tcPr>
          <w:p>
            <w:r>
              <w:t>Vendor risk management team</w:t>
            </w:r>
          </w:p>
        </w:tc>
        <w:tc>
          <w:tcPr>
            <w:tcW w:type="dxa" w:w="4320"/>
          </w:tcPr>
          <w:p>
            <w:r>
              <w:t>Operational follow-up and evidence maintenance</w:t>
            </w:r>
          </w:p>
        </w:tc>
      </w:tr>
      <w:tr>
        <w:tc>
          <w:tcPr>
            <w:tcW w:type="dxa" w:w="4320"/>
          </w:tcPr>
          <w:p>
            <w:r>
              <w:t>Procurement</w:t>
            </w:r>
          </w:p>
        </w:tc>
        <w:tc>
          <w:tcPr>
            <w:tcW w:type="dxa" w:w="4320"/>
          </w:tcPr>
          <w:p>
            <w:r>
              <w:t>Vendor lifecycle management and contract renewal support</w:t>
            </w:r>
          </w:p>
        </w:tc>
      </w:tr>
      <w:tr>
        <w:tc>
          <w:tcPr>
            <w:tcW w:type="dxa" w:w="4320"/>
          </w:tcPr>
          <w:p>
            <w:r>
              <w:t>Legal and privacy teams</w:t>
            </w:r>
          </w:p>
        </w:tc>
        <w:tc>
          <w:tcPr>
            <w:tcW w:type="dxa" w:w="4320"/>
          </w:tcPr>
          <w:p>
            <w:r>
              <w:t>Contract and data protection review</w:t>
            </w:r>
          </w:p>
        </w:tc>
      </w:tr>
      <w:tr>
        <w:tc>
          <w:tcPr>
            <w:tcW w:type="dxa" w:w="4320"/>
          </w:tcPr>
          <w:p>
            <w:r>
              <w:t>Business owners</w:t>
            </w:r>
          </w:p>
        </w:tc>
        <w:tc>
          <w:tcPr>
            <w:tcW w:type="dxa" w:w="4320"/>
          </w:tcPr>
          <w:p>
            <w:r>
              <w:t>Ownership of vendor-specific remediation actions</w:t>
            </w:r>
          </w:p>
        </w:tc>
      </w:tr>
      <w:tr>
        <w:tc>
          <w:tcPr>
            <w:tcW w:type="dxa" w:w="4320"/>
          </w:tcPr>
          <w:p>
            <w:r>
              <w:t>Internal audit or compliance team</w:t>
            </w:r>
          </w:p>
        </w:tc>
        <w:tc>
          <w:tcPr>
            <w:tcW w:type="dxa" w:w="4320"/>
          </w:tcPr>
          <w:p>
            <w:r>
              <w:t>Audit readiness and independent review</w:t>
            </w:r>
          </w:p>
        </w:tc>
      </w:tr>
      <w:tr>
        <w:tc>
          <w:tcPr>
            <w:tcW w:type="dxa" w:w="4320"/>
          </w:tcPr>
          <w:p>
            <w:r>
              <w:t>External auditors under confidentiality obligation</w:t>
            </w:r>
          </w:p>
        </w:tc>
        <w:tc>
          <w:tcPr>
            <w:tcW w:type="dxa" w:w="4320"/>
          </w:tcPr>
          <w:p>
            <w:r>
              <w:t>SOC 2 examination support</w:t>
            </w:r>
          </w:p>
        </w:tc>
      </w:tr>
    </w:tbl>
    <w:p>
      <w:pPr>
        <w:pStyle w:val="Heading3"/>
      </w:pPr>
      <w:r>
        <w:t>Handling Requirements</w:t>
      </w:r>
    </w:p>
    <w:p>
      <w:r>
        <w:t>Recipients must:</w:t>
      </w:r>
    </w:p>
    <w:p>
      <w:pPr>
        <w:pStyle w:val="ListBullet"/>
      </w:pPr>
      <w:r>
        <w:t>Store the report only in approved internal repositories.</w:t>
      </w:r>
    </w:p>
    <w:p>
      <w:pPr>
        <w:pStyle w:val="ListBullet"/>
      </w:pPr>
      <w:r>
        <w:t>Not forward the report externally without approval from [Report Owner / Legal / Security].</w:t>
      </w:r>
    </w:p>
    <w:p>
      <w:pPr>
        <w:pStyle w:val="ListBullet"/>
      </w:pPr>
      <w:r>
        <w:t>Redact vendor-specific sensitive details before broader internal distribution where appropriate.</w:t>
      </w:r>
    </w:p>
    <w:p>
      <w:pPr>
        <w:pStyle w:val="ListBullet"/>
      </w:pPr>
      <w:r>
        <w:t>Protect vendor assurance materials in accordance with applicable confidentiality obligations.</w:t>
      </w:r>
    </w:p>
    <w:p>
      <w:pPr>
        <w:pStyle w:val="ListBullet"/>
      </w:pPr>
      <w:r>
        <w:t>Avoid uploading this report or supporting evidence to unapproved collaboration, AI, or file-sharing tools.</w:t>
      </w:r>
    </w:p>
    <w:p>
      <w:pPr>
        <w:pStyle w:val="ListBullet"/>
      </w:pPr>
      <w:r>
        <w:t>Report suspected unauthorized disclosure to [Security Contact] immediately.</w:t>
      </w:r>
    </w:p>
    <w:p>
      <w:pPr>
        <w:pStyle w:val="Heading3"/>
      </w:pPr>
      <w:r>
        <w:t>Retention</w:t>
      </w:r>
    </w:p>
    <w:p>
      <w:r>
        <w:t>This report and supporting evidence must be retained for at least [Retention Period] or longer if required by contract, legal hold, customer commitment, audit requirement, or internal records retention requirements.</w:t>
      </w:r>
    </w:p>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Date</w:t>
            </w:r>
          </w:p>
        </w:tc>
        <w:tc>
          <w:tcPr>
            <w:tcW w:type="dxa" w:w="2160"/>
          </w:tcPr>
          <w:p>
            <w:r>
              <w:t>Signature / Approval Record</w:t>
            </w:r>
          </w:p>
        </w:tc>
      </w:tr>
      <w:tr>
        <w:tc>
          <w:tcPr>
            <w:tcW w:type="dxa" w:w="2160"/>
          </w:tcPr>
          <w:p>
            <w:r>
              <w:t>Vendor Risk Management Owner</w:t>
            </w:r>
          </w:p>
        </w:tc>
        <w:tc>
          <w:tcPr>
            <w:tcW w:type="dxa" w:w="2160"/>
          </w:tcPr>
          <w:p>
            <w:r>
              <w:t>[Name]</w:t>
            </w:r>
          </w:p>
        </w:tc>
        <w:tc>
          <w:tcPr>
            <w:tcW w:type="dxa" w:w="2160"/>
          </w:tcPr>
          <w:p>
            <w:r>
              <w:t>[Date]</w:t>
            </w:r>
          </w:p>
        </w:tc>
        <w:tc>
          <w:tcPr>
            <w:tcW w:type="dxa" w:w="2160"/>
          </w:tcPr>
          <w:p>
            <w:r>
              <w:t>[Approval Record]</w:t>
            </w:r>
          </w:p>
        </w:tc>
      </w:tr>
      <w:tr>
        <w:tc>
          <w:tcPr>
            <w:tcW w:type="dxa" w:w="2160"/>
          </w:tcPr>
          <w:p>
            <w:r>
              <w:t>Security Leader</w:t>
            </w:r>
          </w:p>
        </w:tc>
        <w:tc>
          <w:tcPr>
            <w:tcW w:type="dxa" w:w="2160"/>
          </w:tcPr>
          <w:p>
            <w:r>
              <w:t>[Name]</w:t>
            </w:r>
          </w:p>
        </w:tc>
        <w:tc>
          <w:tcPr>
            <w:tcW w:type="dxa" w:w="2160"/>
          </w:tcPr>
          <w:p>
            <w:r>
              <w:t>[Date]</w:t>
            </w:r>
          </w:p>
        </w:tc>
        <w:tc>
          <w:tcPr>
            <w:tcW w:type="dxa" w:w="2160"/>
          </w:tcPr>
          <w:p>
            <w:r>
              <w:t>[Approval Record]</w:t>
            </w:r>
          </w:p>
        </w:tc>
      </w:tr>
      <w:tr>
        <w:tc>
          <w:tcPr>
            <w:tcW w:type="dxa" w:w="2160"/>
          </w:tcPr>
          <w:p>
            <w:r>
              <w:t>Legal / Privacy Representative</w:t>
            </w:r>
          </w:p>
        </w:tc>
        <w:tc>
          <w:tcPr>
            <w:tcW w:type="dxa" w:w="2160"/>
          </w:tcPr>
          <w:p>
            <w:r>
              <w:t>[Name]</w:t>
            </w:r>
          </w:p>
        </w:tc>
        <w:tc>
          <w:tcPr>
            <w:tcW w:type="dxa" w:w="2160"/>
          </w:tcPr>
          <w:p>
            <w:r>
              <w:t>[Date]</w:t>
            </w:r>
          </w:p>
        </w:tc>
        <w:tc>
          <w:tcPr>
            <w:tcW w:type="dxa" w:w="2160"/>
          </w:tcPr>
          <w:p>
            <w:r>
              <w:t>[Approval Record]</w:t>
            </w:r>
          </w:p>
        </w:tc>
      </w:tr>
      <w:tr>
        <w:tc>
          <w:tcPr>
            <w:tcW w:type="dxa" w:w="2160"/>
          </w:tcPr>
          <w:p>
            <w:r>
              <w:t>Executive Sponsor</w:t>
            </w:r>
          </w:p>
        </w:tc>
        <w:tc>
          <w:tcPr>
            <w:tcW w:type="dxa" w:w="2160"/>
          </w:tcPr>
          <w:p>
            <w:r>
              <w:t>[Name]</w:t>
            </w:r>
          </w:p>
        </w:tc>
        <w:tc>
          <w:tcPr>
            <w:tcW w:type="dxa" w:w="2160"/>
          </w:tcPr>
          <w:p>
            <w:r>
              <w:t>[Date]</w:t>
            </w:r>
          </w:p>
        </w:tc>
        <w:tc>
          <w:tcPr>
            <w:tcW w:type="dxa" w:w="2160"/>
          </w:tcPr>
          <w:p>
            <w:r>
              <w:t>[Approval Record]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