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F4E7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[Bank Name]</w:t>
            </w:r>
          </w:p>
        </w:tc>
      </w:tr>
    </w:tbl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E75B6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PENETRATION TESTING REPORT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Annual External Penetration Test — FY 2025-26</w:t>
            </w:r>
          </w:p>
        </w:tc>
      </w:tr>
    </w:tbl>
    <w:p>
      <w:pPr>
        <w:spacing w:before="360"/>
      </w:pPr>
    </w:p>
    <w:p>
      <w:pPr>
        <w:jc w:val="center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Evidence ID: EV-TR-002</w:t>
      </w:r>
    </w:p>
    <w:p>
      <w:pPr>
        <w:spacing w:before="360"/>
      </w:pPr>
    </w:p>
    <w:p>
      <w:pPr>
        <w:spacing w:after="80" w:before="8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4"/>
          <w:szCs w:val="24"/>
        </w:rPr>
        <w:t xml:space="preserve">DOCUMENT METADATA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Penetration Test Report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CONFIDENTIAL — RESTRICTED DISTRIBUTION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Test Period</w:t>
            </w:r>
          </w:p>
        </w:tc>
        <w:tc>
          <w:tcPr>
            <w:tcW w:type="dxa" w:w="6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19-Jan-2026 to 16-Feb-2026 (4 weeks)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Report Date</w:t>
            </w:r>
          </w:p>
        </w:tc>
        <w:tc>
          <w:tcPr>
            <w:tcW w:type="dxa" w:w="6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28-Feb-2026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Testing Methodology</w:t>
            </w:r>
          </w:p>
        </w:tc>
        <w:tc>
          <w:tcPr>
            <w:tcW w:type="dxa" w:w="6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PTES + OWASP WSTG v4.2 + NIST SP 800-115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Testing Vendor</w:t>
            </w:r>
          </w:p>
        </w:tc>
        <w:tc>
          <w:tcPr>
            <w:tcW w:type="dxa" w:w="6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SecureLogic DMCC (CREST-certified, PCI-QSA affiliated)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Lead Tester</w:t>
            </w:r>
          </w:p>
        </w:tc>
        <w:tc>
          <w:tcPr>
            <w:tcW w:type="dxa" w:w="6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Omar Bin Hussain (OSCP, OSCE, CREST CRT)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Approved By</w:t>
            </w:r>
          </w:p>
        </w:tc>
        <w:tc>
          <w:tcPr>
            <w:tcW w:type="dxa" w:w="6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Chief Information Security Officer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Retention</w:t>
            </w:r>
          </w:p>
        </w:tc>
        <w:tc>
          <w:tcPr>
            <w:tcW w:type="dxa" w:w="6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 years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Distribution</w:t>
            </w:r>
          </w:p>
        </w:tc>
        <w:tc>
          <w:tcPr>
            <w:tcW w:type="dxa" w:w="6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CISO, CIO, CEO, Board IT Committee (hard copy only)</w:t>
            </w:r>
          </w:p>
        </w:tc>
      </w:tr>
    </w:tbl>
    <w:p>
      <w:pPr>
        <w:spacing w:before="360"/>
      </w:pPr>
    </w:p>
    <w:p>
      <w:pPr>
        <w:spacing w:after="80" w:before="8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4"/>
          <w:szCs w:val="24"/>
        </w:rPr>
        <w:t xml:space="preserve">FRAMEWORKS SATISFIED BY THIS EVIDENCE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CBUAE Ch.14</w:t>
            </w:r>
          </w:p>
        </w:tc>
        <w:tc>
          <w:tcPr>
            <w:tcW w:type="dxa" w:w="6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14.9 Penetration Testing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SBP ETGRMF</w:t>
            </w:r>
          </w:p>
        </w:tc>
        <w:tc>
          <w:tcPr>
            <w:tcW w:type="dxa" w:w="6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2.7(b)(iii) Annual Penetration Testing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SBP IB Regulations</w:t>
            </w:r>
          </w:p>
        </w:tc>
        <w:tc>
          <w:tcPr>
            <w:tcW w:type="dxa" w:w="6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2.1(e) Cyber Risk Assessment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ISO 27001:2022</w:t>
            </w:r>
          </w:p>
        </w:tc>
        <w:tc>
          <w:tcPr>
            <w:tcW w:type="dxa" w:w="6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A.8.29 Security Testing; A.8.8 Vulnerability Management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PCI-DSS v4.0.1</w:t>
            </w:r>
          </w:p>
        </w:tc>
        <w:tc>
          <w:tcPr>
            <w:tcW w:type="dxa" w:w="6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Req 11.4.1, 11.4.2, 11.4.3 External &amp; Internal Penetration Testing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12"/>
        </w:pBdr>
        <w:spacing w:after="180" w:before="360"/>
        <w:jc w:val="left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1. Executive Summary</w:t>
      </w:r>
    </w:p>
    <w:p>
      <w:pPr>
        <w:spacing w:after="8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This report documents the results of the annual external penetration test conducted by SecureLogic DMCC for [Bank Name] during January and February 2026. The test was performed in accordance with PTES, OWASP WSTG v4.2 and NIST SP 800-115 methodologies and covered both black-box external perimeter testing and grey-box internal testing.</w:t>
      </w:r>
    </w:p>
    <w:p>
      <w:pPr>
        <w:spacing w:after="8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/>
      </w:r>
    </w:p>
    <w:p>
      <w:pPr>
        <w:spacing w:after="80" w:before="8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404040"/>
          <w:sz w:val="22"/>
          <w:szCs w:val="22"/>
        </w:rPr>
        <w:t xml:space="preserve">OVERALL RISK RATING: MEDIUM-LOW. The Bank demonstrates a mature security posture with effective defense-in-depth. No critical findings. Two high-severity findings identified (both remediated during testing window). Most findings rated low/informational.</w:t>
      </w:r>
    </w:p>
    <w:p>
      <w:pPr>
        <w:pStyle w:val="Heading2"/>
        <w:spacing w:after="120" w:before="240"/>
        <w:jc w:val="left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Scope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External perimeter — 47 internet-facing IP addresses across bank.ae estate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Internet Banking portal (ib.bank.ae) — authenticated and unauthenticated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Mobile Banking API (api.bank.ae) — full API testing from iOS and Android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Internal network — simulated compromised-workstation scenario from branch VLAN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Active Directory — credentialed Red Team engagement (5 day time-box)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Physical Social Engineering (1 branch, with CEO sign-off) — OPTIONAL, conducted</w:t>
      </w:r>
    </w:p>
    <w:p>
      <w:pPr>
        <w:pStyle w:val="Heading2"/>
        <w:spacing w:after="120" w:before="240"/>
        <w:jc w:val="left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Findings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500"/>
        <w:gridCol w:w="2500"/>
        <w:gridCol w:w="2360"/>
      </w:tblGrid>
      <w:tr>
        <w:trPr>
          <w:tblHeader/>
        </w:trP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Open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Closed During Test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Open Post-Test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20"/>
                <w:szCs w:val="20"/>
              </w:rPr>
              <w:t xml:space="preserve">Critical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0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0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0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0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5700"/>
                <w:sz w:val="20"/>
                <w:szCs w:val="20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0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100"/>
                <w:sz w:val="20"/>
                <w:szCs w:val="20"/>
              </w:rPr>
              <w:t xml:space="preserve">Low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9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0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4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Info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14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—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—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14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TOTAL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30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0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9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21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12"/>
        </w:pBdr>
        <w:spacing w:after="180" w:before="360"/>
        <w:jc w:val="left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2. Methodology</w:t>
      </w:r>
    </w:p>
    <w:p>
      <w:pPr>
        <w:pStyle w:val="Heading2"/>
        <w:spacing w:after="120" w:before="240"/>
        <w:jc w:val="left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Phased Approach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360"/>
        <w:gridCol w:w="1500"/>
        <w:gridCol w:w="1500"/>
      </w:tblGrid>
      <w:tr>
        <w:trPr>
          <w:tblHeader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Activities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Pre-engagement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Rules of engagement, scope sign-off, emergency contacts, out-of-scope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 days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RoE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Reconnaissance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OSINT, Shodan/Censys, DNS enumeration, subdomain discovery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 days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Asset map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Scanning &amp; Enumeration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Port scan, service fingerprinting, web crawling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4 days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Target inventory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Exploitation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Manual testing against identified attack surface; no destructive tests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12 days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Evidence of impact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Post-Exploitation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Lateral movement simulation, privilege escalation, data exfil simulation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5 days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Impact proof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Reporting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Consolidated findings with remediation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 days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This report</w:t>
            </w:r>
          </w:p>
        </w:tc>
      </w:tr>
    </w:tbl>
    <w:p>
      <w:pPr>
        <w:pStyle w:val="Heading2"/>
        <w:spacing w:after="120" w:before="240"/>
        <w:jc w:val="left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Testing Vectors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Network (external) — TCP/UDP scan of all in-scope IPs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Application — OWASP Top 10 (2021) + OWASP API Top 10 + OWASP Mobile Top 10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Authentication — Credential stuffing simulation (with SOC monitoring 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Authorization — IDOR, BOLA, privilege escalation paths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Cryptography — TLS config, key management review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Social Engineering — Phishing simulation (separately tracked in EV-TRN-002); physical (1 branch walk-in)</w:t>
      </w:r>
    </w:p>
    <w:p>
      <w:r>
        <w:br w:type="page"/>
      </w:r>
    </w:p>
    <w:p>
      <w:pPr>
        <w:pStyle w:val="Heading1"/>
        <w:pBdr>
          <w:bottom w:val="single" w:color="2E75B6" w:sz="12"/>
        </w:pBdr>
        <w:spacing w:after="180" w:before="360"/>
        <w:jc w:val="left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3. Detailed Findings</w:t>
      </w:r>
    </w:p>
    <w:p>
      <w:pPr>
        <w:pStyle w:val="Heading2"/>
        <w:spacing w:after="120" w:before="240"/>
        <w:jc w:val="left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High Severity Findings</w:t>
      </w:r>
    </w:p>
    <w:p>
      <w:pPr>
        <w:pStyle w:val="Heading3"/>
        <w:spacing w:after="100" w:before="180"/>
        <w:jc w:val="left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PT-H01: Outdated jQuery library exposing known vulnerabilities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CVSS v3.1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7.5 (High)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Affected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ib.bank.ae — jQuery 3.4.1 (out of date)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CWE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CWE-1104 Use of Unmaintained Third Party Components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Observation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Static assets loading jQuery 3.4.1 which has CVE-2020-11023 (XSS via htmlPrefilter). No direct XSS found but library should be upgraded.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Remediation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Upgraded to jQuery 3.7.1 on 28-Jan-2026 (during test window).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100"/>
                <w:sz w:val="20"/>
                <w:szCs w:val="20"/>
              </w:rPr>
              <w:t xml:space="preserve">CLOSED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Retest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Passed 05-Feb-2026</w:t>
            </w:r>
          </w:p>
        </w:tc>
      </w:tr>
    </w:tbl>
    <w:p>
      <w:pPr>
        <w:pStyle w:val="Heading3"/>
        <w:spacing w:after="100" w:before="180"/>
        <w:jc w:val="left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PT-H02: Session cookie missing SameSite=Strict on transfer-approval endpoint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CVSS v3.1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7.1 (High)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Affected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ib.bank.ae/transfer/approve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CWE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CWE-1275 Sensitive Cookie with Improper SameSite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Observation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Session cookie on transfer-approval endpoint had SameSite=Lax, not Strict. No direct exploit due to CSRF token in place, but defense-in-depth gap.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Remediation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Cookie attribute changed to SameSite=Strict on 02-Feb-2026.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100"/>
                <w:sz w:val="20"/>
                <w:szCs w:val="20"/>
              </w:rPr>
              <w:t xml:space="preserve">CLOSED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Retest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Passed 09-Feb-2026</w:t>
            </w:r>
          </w:p>
        </w:tc>
      </w:tr>
    </w:tbl>
    <w:p>
      <w:pPr>
        <w:pStyle w:val="Heading2"/>
        <w:spacing w:after="120" w:before="240"/>
        <w:jc w:val="left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Medium Severity Findings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600"/>
        <w:gridCol w:w="1000"/>
        <w:gridCol w:w="1400"/>
        <w:gridCol w:w="1360"/>
      </w:tblGrid>
      <w:tr>
        <w:trPr>
          <w:tblHeader/>
        </w:trP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CVSS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Date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PT-M01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User enumeration via login response timing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6.8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100"/>
                <w:sz w:val="20"/>
                <w:szCs w:val="20"/>
              </w:rPr>
              <w:t xml:space="preserve">PASS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Closed 09-Feb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PT-M02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Verbose error messages in mobile API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5.8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100"/>
                <w:sz w:val="20"/>
                <w:szCs w:val="20"/>
              </w:rPr>
              <w:t xml:space="preserve">PASS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Closed 11-Feb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PT-M03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Admin console accessible without IP whitelist (internal only)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6.1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100"/>
                <w:sz w:val="20"/>
                <w:szCs w:val="20"/>
              </w:rPr>
              <w:t xml:space="preserve">PASS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Closed 14-Feb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PT-M04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Unrestricted file upload size (internal app)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5.3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5700"/>
                <w:sz w:val="20"/>
                <w:szCs w:val="20"/>
              </w:rPr>
              <w:t xml:space="preserve">PARTIAL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30-Apr-2026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PT-M05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Weak rate-limit on password reset (3 per hour)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4.9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5700"/>
                <w:sz w:val="20"/>
                <w:szCs w:val="20"/>
              </w:rPr>
              <w:t xml:space="preserve">PARTIAL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31-May-2026</w:t>
            </w:r>
          </w:p>
        </w:tc>
      </w:tr>
    </w:tbl>
    <w:p>
      <w:pPr>
        <w:pStyle w:val="Heading2"/>
        <w:spacing w:after="120" w:before="240"/>
        <w:jc w:val="left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Low &amp; Info Findings (summarized)</w:t>
      </w:r>
    </w:p>
    <w:p>
      <w:pPr>
        <w:spacing w:after="8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23 findings of Low or Informational severity have been documented in Appendix A and tracked in EV-REG-007. Key categories: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Security headers — 4 findings (CSP refinement, cross-origin policies) — all closed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Information disclosure — 3 findings (HTTP TRACE, server banner, version info) — all closed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Cryptographic — 2 findings (legacy cipher suites on 1 host) — closed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Client-side security — 14 informational (framework-level)</w:t>
      </w:r>
    </w:p>
    <w:p>
      <w:r>
        <w:br w:type="page"/>
      </w:r>
    </w:p>
    <w:p>
      <w:pPr>
        <w:pStyle w:val="Heading1"/>
        <w:pBdr>
          <w:bottom w:val="single" w:color="2E75B6" w:sz="12"/>
        </w:pBdr>
        <w:spacing w:after="180" w:before="360"/>
        <w:jc w:val="left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4. Attack Paths Not Successfully Exploited</w:t>
      </w:r>
    </w:p>
    <w:p>
      <w:pPr>
        <w:spacing w:after="8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In addition to successful findings, the following attack paths were attempted but did not succeed — these provide positive assurance: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SQL injection across 186 distinct endpoints — defeated by parameterized queries and WAF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XSS across all form inputs — defeated by framework escaping and CSP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Credential stuffing with 10,000 breached credentials — defeated by account lockout after 5 attempts and anomaly detection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SWIFT operator console pivot from internal network — defeated by network segmentation (no route to SWIFT zone)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Cardholder Data Environment access from internal VLAN — defeated by firewall rules and CDE segmentation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Domain admin takeover via Kerberoasting — no SPN-registered accounts with weak passwords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Phishing with malicious macro — blocked by email sandbox, macros disabled GPO, EDR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Physical: branch walk-in attempting to plug rogue device — challenged by branch staff within 3 minutes; NAC blocked device</w:t>
      </w:r>
    </w:p>
    <w:p>
      <w:pPr>
        <w:pStyle w:val="Heading1"/>
        <w:pBdr>
          <w:bottom w:val="single" w:color="2E75B6" w:sz="12"/>
        </w:pBdr>
        <w:spacing w:after="180" w:before="360"/>
        <w:jc w:val="left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5. Recommendations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000"/>
        <w:gridCol w:w="1200"/>
        <w:gridCol w:w="1400"/>
        <w:gridCol w:w="1260"/>
      </w:tblGrid>
      <w:tr>
        <w:trPr>
          <w:tblHeader/>
        </w:trP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Recommendation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Date</w:t>
            </w:r>
          </w:p>
        </w:tc>
        <w:tc>
          <w:tcPr>
            <w:tcW w:type="dxa" w:w="1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Complete PT-M04 and PT-M05 remediations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5700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31-May-2026</w:t>
            </w:r>
          </w:p>
        </w:tc>
        <w:tc>
          <w:tcPr>
            <w:tcW w:type="dxa" w:w="1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CIO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Introduce WAF rule tuning based on finding patterns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5700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30-Jun-2026</w:t>
            </w:r>
          </w:p>
        </w:tc>
        <w:tc>
          <w:tcPr>
            <w:tcW w:type="dxa" w:w="1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CISO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Expand MFA to all back-office admin interfaces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5700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30-Sep-2026</w:t>
            </w:r>
          </w:p>
        </w:tc>
        <w:tc>
          <w:tcPr>
            <w:tcW w:type="dxa" w:w="1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CISO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4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Implement Content Security Policy (CSP) Level 3 report-only mode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100"/>
                <w:sz w:val="20"/>
                <w:szCs w:val="20"/>
              </w:rPr>
              <w:t xml:space="preserve">Low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31-Dec-2026</w:t>
            </w:r>
          </w:p>
        </w:tc>
        <w:tc>
          <w:tcPr>
            <w:tcW w:type="dxa" w:w="1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CIO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5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Repeat pen test in 12 months (or sooner if major change)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Info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28-Feb-2027</w:t>
            </w:r>
          </w:p>
        </w:tc>
        <w:tc>
          <w:tcPr>
            <w:tcW w:type="dxa" w:w="1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CISO</w:t>
            </w:r>
          </w:p>
        </w:tc>
      </w:tr>
    </w:tbl>
    <w:p>
      <w:pPr>
        <w:pStyle w:val="Heading1"/>
        <w:pBdr>
          <w:bottom w:val="single" w:color="2E75B6" w:sz="12"/>
        </w:pBdr>
        <w:spacing w:after="180" w:before="360"/>
        <w:jc w:val="left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6. Attestation</w:t>
      </w:r>
    </w:p>
    <w:p>
      <w:pPr>
        <w:spacing w:after="8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This penetration test was conducted in accordance with PTES, OWASP WSTG v4.2 and NIST SP 800-115. The Bank demonstrates a mature security posture. We confirm the test satisfies PCI-DSS v4.0.1 Requirements 11.4.1, 11.4.2, and 11.4.3 for the Bank's Cardholder Data Environment.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3000"/>
        <w:gridCol w:w="1860"/>
      </w:tblGrid>
      <w:tr>
        <w:trPr>
          <w:tblHeader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Certifications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Lead Tester (Vendor)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Omar Bin Hussain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OSCP, OSCE, CREST CRT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[Signed]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QSA Reviewer (Vendor)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Priya Subramanian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CISSP, PCI-QSA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[Signed]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CISO ([Bank Name])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[CISO Name]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CISM, CISSP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[Signed]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Board IT Committee Chair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[Director Name]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—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[Minuted]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77777"/>
        <w:sz w:val="16"/>
        <w:szCs w:val="16"/>
      </w:rPr>
      <w:t xml:space="preserve">[Bank Name] — CONFIDENTIAL — </w:t>
    </w:r>
    <w:r>
      <w:rPr>
        <w:rFonts w:ascii="Arial" w:cs="Arial" w:eastAsia="Arial" w:hAnsi="Arial"/>
        <w:color w:val="777777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/>
      </w:pBdr>
      <w:jc w:val="left"/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EV-TR-002 — Annual Penetration Test FY 2025-26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2026-04-21T10:04:18.177Z</dcterms:created>
  <dcterms:modified xsi:type="dcterms:W3CDTF">2026-04-21T10:04:18.177Z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