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Representative Designation (non-EU)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[POL-GDPR-REP-001]</w:t>
            </w:r>
          </w:p>
        </w:tc>
        <w:tc>
          <w:tcPr>
            <w:tcW w:type="dxa" w:w="1440"/>
          </w:tcPr>
          <w:p>
            <w:r>
              <w:t>1.0</w:t>
            </w:r>
          </w:p>
        </w:tc>
        <w:tc>
          <w:tcPr>
            <w:tcW w:type="dxa" w:w="1440"/>
          </w:tcPr>
          <w:p>
            <w:r>
              <w:t>Data Protection Officer / Privacy Office</w:t>
            </w:r>
          </w:p>
        </w:tc>
        <w:tc>
          <w:tcPr>
            <w:tcW w:type="dxa" w:w="1440"/>
          </w:tcPr>
          <w:p>
            <w:r>
              <w:t>[Effective Date]</w:t>
            </w:r>
          </w:p>
        </w:tc>
        <w:tc>
          <w:tcPr>
            <w:tcW w:type="dxa" w:w="1440"/>
          </w:tcPr>
          <w:p>
            <w:r>
              <w:t>GDPR</w:t>
            </w:r>
          </w:p>
        </w:tc>
        <w:tc>
          <w:tcPr>
            <w:tcW w:type="dxa" w:w="1440"/>
          </w:tcPr>
          <w:p>
            <w:r>
              <w:t>Internal</w:t>
            </w:r>
          </w:p>
        </w:tc>
      </w:tr>
    </w:tbl>
    <w:p>
      <w:pPr>
        <w:pStyle w:val="Heading2"/>
      </w:pPr>
      <w:r>
        <w:t>Purpose</w:t>
      </w:r>
    </w:p>
    <w:p>
      <w:r>
        <w:t>This Policy defines the mandatory requirements for designating, maintaining, and managing an EU representative where [Organisation Name] is not established in the European Union but offers goods or services to individuals in the European Union or monitors their behaviour within the European Union.</w:t>
      </w:r>
    </w:p>
    <w:p>
      <w:r>
        <w:t>The purpose of the EU representative is to provide an accessible contact point in the European Union for individuals, supervisory authorities, and other relevant parties regarding [Organisation Name]'s processing of personal data subject to GDPR requirements.</w:t>
      </w:r>
    </w:p>
    <w:p>
      <w:pPr>
        <w:pStyle w:val="Heading2"/>
      </w:pPr>
      <w:r>
        <w:t>Scope</w:t>
      </w:r>
    </w:p>
    <w:p>
      <w:r>
        <w:t>This Policy applies to:</w:t>
      </w:r>
    </w:p>
    <w:p>
      <w:pPr>
        <w:pStyle w:val="ListBullet"/>
      </w:pPr>
      <w:r>
        <w:t>[Organisation Name] and all subsidiaries, business units, functions, and personnel involved in processing personal data of individuals located in the European Union.</w:t>
      </w:r>
    </w:p>
    <w:p>
      <w:pPr>
        <w:pStyle w:val="ListBullet"/>
      </w:pPr>
      <w:r>
        <w:t>Processing activities carried out by [Organisation Name] as a controller, processor, or both, where [Organisation Name] is not established in the European Union.</w:t>
      </w:r>
    </w:p>
    <w:p>
      <w:pPr>
        <w:pStyle w:val="ListBullet"/>
      </w:pPr>
      <w:r>
        <w:t>Products, services, websites, applications, platforms, analytics, marketing activities, customer support, sales operations, and monitoring activities involving individuals in the European Union.</w:t>
      </w:r>
    </w:p>
    <w:p>
      <w:pPr>
        <w:pStyle w:val="ListBullet"/>
      </w:pPr>
      <w:r>
        <w:t>Third parties acting on behalf of [Organisation Name] where their processing may create or affect the requirement to designate an EU representative.</w:t>
      </w:r>
    </w:p>
    <w:p>
      <w:r>
        <w:t>This Policy does not replace the need to appoint a Data Protection Officer where such appointment is separately required, nor does it transfer [Organisation Name]'s accountability for compliance to the EU representative.</w:t>
      </w:r>
    </w:p>
    <w:p>
      <w:pPr>
        <w:pStyle w:val="Heading2"/>
      </w:pPr>
      <w:r>
        <w:t>Policy Statements</w:t>
      </w:r>
    </w:p>
    <w:p>
      <w:pPr>
        <w:pStyle w:val="ListBullet"/>
      </w:pPr>
      <w:r>
        <w:t>[Organisation Name] shall assess whether an EU representative is required before commencing or materially changing any processing activity involving individuals located in the European Union.</w:t>
      </w:r>
    </w:p>
    <w:p>
      <w:pPr>
        <w:pStyle w:val="ListBullet"/>
      </w:pPr>
      <w:r>
        <w:t>[Organisation Name] shall designate an EU representative where it is not established in the European Union and processes personal data of individuals in the European Union in connection with:</w:t>
      </w:r>
    </w:p>
    <w:p>
      <w:pPr>
        <w:pStyle w:val="ListBullet"/>
      </w:pPr>
      <w:r>
        <w:t>offering goods or services to those individuals, whether paid or free of charge; or</w:t>
      </w:r>
    </w:p>
    <w:p>
      <w:pPr>
        <w:pStyle w:val="ListBullet"/>
      </w:pPr>
      <w:r>
        <w:t>monitoring their behaviour within the European Union, including through tracking, profiling, behavioural advertising, analytics, geolocation, or similar technologies.</w:t>
      </w:r>
    </w:p>
    <w:p>
      <w:pPr>
        <w:pStyle w:val="ListBullet"/>
      </w:pPr>
      <w:r>
        <w:t>[Organisation Name] shall document the outcome of each EU representative applicability assessment, including the business rationale, processing context, data subjects affected, categories of personal data processed, and the decision reached.</w:t>
      </w:r>
    </w:p>
    <w:p>
      <w:pPr>
        <w:pStyle w:val="ListBullet"/>
      </w:pPr>
      <w:r>
        <w:t>[Organisation Name] shall not rely on an exemption from appointing an EU representative unless the Privacy Office has formally documented that the processing is only occasional, does not include large-scale processing of special category or criminal offence data, and is unlikely to result in a risk to individuals' rights and freedoms.</w:t>
      </w:r>
    </w:p>
    <w:p>
      <w:pPr>
        <w:pStyle w:val="ListBullet"/>
      </w:pPr>
      <w:r>
        <w:t>[Organisation Name] shall not treat repeated, ongoing, systematic, targeted, or revenue-generating processing of individuals in the European Union as occasional.</w:t>
      </w:r>
    </w:p>
    <w:p>
      <w:pPr>
        <w:pStyle w:val="ListBullet"/>
      </w:pPr>
      <w:r>
        <w:t>Where an EU representative is required, [Organisation Name] shall appoint the representative in writing before the relevant processing activity begins.</w:t>
      </w:r>
    </w:p>
    <w:p>
      <w:pPr>
        <w:pStyle w:val="ListBullet"/>
      </w:pPr>
      <w:r>
        <w:t>The EU representative shall be established in one of the European Union member states where the individuals whose personal data is processed are located.</w:t>
      </w:r>
    </w:p>
    <w:p>
      <w:pPr>
        <w:pStyle w:val="ListBullet"/>
      </w:pPr>
      <w:r>
        <w:t>Where [Organisation Name] processes personal data of individuals in multiple European Union member states, the Privacy Office shall select the representative's location based on factors including the main markets served, volume of affected individuals, language requirements, regulatory accessibility, and operational effectiveness.</w:t>
      </w:r>
    </w:p>
    <w:p>
      <w:pPr>
        <w:pStyle w:val="ListBullet"/>
      </w:pPr>
      <w:r>
        <w:t>[Organisation Name] shall ensure the EU representative has a written mandate to act on behalf of [Organisation Name] regarding GDPR-related communications with supervisory authorities and individuals.</w:t>
      </w:r>
    </w:p>
    <w:p>
      <w:pPr>
        <w:pStyle w:val="ListBullet"/>
      </w:pPr>
      <w:r>
        <w:t>The written mandate shall clearly define the EU representative's authority, duties, communication channels, escalation routes, service levels, confidentiality obligations, record-keeping obligations, and limits of authority.</w:t>
      </w:r>
    </w:p>
    <w:p>
      <w:pPr>
        <w:pStyle w:val="ListBullet"/>
      </w:pPr>
      <w:r>
        <w:t>[Organisation Name] shall ensure the EU representative is able to communicate effectively in the language or languages appropriate to the individuals and supervisory authorities with whom it is expected to interact.</w:t>
      </w:r>
    </w:p>
    <w:p>
      <w:pPr>
        <w:pStyle w:val="ListBullet"/>
      </w:pPr>
      <w:r>
        <w:t>[Organisation Name] shall ensure the EU representative has sufficient competence, availability, and resources to perform its role effectively.</w:t>
      </w:r>
    </w:p>
    <w:p>
      <w:pPr>
        <w:pStyle w:val="ListBullet"/>
      </w:pPr>
      <w:r>
        <w:t>[Organisation Name] shall conduct due diligence before appointing an EU representative, including evaluation of the representative's experience, independence, capacity, information security controls, data protection knowledge, financial stability, and ability to support regulatory communications.</w:t>
      </w:r>
    </w:p>
    <w:p>
      <w:pPr>
        <w:pStyle w:val="ListBullet"/>
      </w:pPr>
      <w:r>
        <w:t>[Organisation Name] shall execute a written agreement with the EU representative before disclosing any personal data or confidential information to the representative.</w:t>
      </w:r>
    </w:p>
    <w:p>
      <w:pPr>
        <w:pStyle w:val="ListBullet"/>
      </w:pPr>
      <w:r>
        <w:t>The agreement with the EU representative shall include, at minimum:</w:t>
      </w:r>
    </w:p>
    <w:p>
      <w:pPr>
        <w:pStyle w:val="ListBullet"/>
      </w:pPr>
      <w:r>
        <w:t>the identity and contact details of [Organisation Name] and the EU representative;</w:t>
      </w:r>
    </w:p>
    <w:p>
      <w:pPr>
        <w:pStyle w:val="ListBullet"/>
      </w:pPr>
      <w:r>
        <w:t>the scope of processing activities covered;</w:t>
      </w:r>
    </w:p>
    <w:p>
      <w:pPr>
        <w:pStyle w:val="ListBullet"/>
      </w:pPr>
      <w:r>
        <w:t>the member state where the EU representative is established;</w:t>
      </w:r>
    </w:p>
    <w:p>
      <w:pPr>
        <w:pStyle w:val="ListBullet"/>
      </w:pPr>
      <w:r>
        <w:t>the representative's communication and escalation obligations;</w:t>
      </w:r>
    </w:p>
    <w:p>
      <w:pPr>
        <w:pStyle w:val="ListBullet"/>
      </w:pPr>
      <w:r>
        <w:t>obligations to support supervisory authority and individual enquiries;</w:t>
      </w:r>
    </w:p>
    <w:p>
      <w:pPr>
        <w:pStyle w:val="ListBullet"/>
      </w:pPr>
      <w:r>
        <w:t>confidentiality and security requirements;</w:t>
      </w:r>
    </w:p>
    <w:p>
      <w:pPr>
        <w:pStyle w:val="ListBullet"/>
      </w:pPr>
      <w:r>
        <w:t>retention and return or deletion requirements for records;</w:t>
      </w:r>
    </w:p>
    <w:p>
      <w:pPr>
        <w:pStyle w:val="ListBullet"/>
      </w:pPr>
      <w:r>
        <w:t>requirements for notifying [Organisation Name] of requests, complaints, investigations, or regulatory correspondence;</w:t>
      </w:r>
    </w:p>
    <w:p>
      <w:pPr>
        <w:pStyle w:val="ListBullet"/>
      </w:pPr>
      <w:r>
        <w:t>service levels for acknowledging and forwarding communications;</w:t>
      </w:r>
    </w:p>
    <w:p>
      <w:pPr>
        <w:pStyle w:val="ListBullet"/>
      </w:pPr>
      <w:r>
        <w:t>audit, assurance, and monitoring rights;</w:t>
      </w:r>
    </w:p>
    <w:p>
      <w:pPr>
        <w:pStyle w:val="ListBullet"/>
      </w:pPr>
      <w:r>
        <w:t>termination and transition requirements.</w:t>
      </w:r>
    </w:p>
    <w:p>
      <w:pPr>
        <w:pStyle w:val="ListBullet"/>
      </w:pPr>
      <w:r>
        <w:t>[Organisation Name] shall ensure the EU representative is identified in relevant external privacy notices, data protection notices, and other appropriate communications to individuals in the European Union.</w:t>
      </w:r>
    </w:p>
    <w:p>
      <w:pPr>
        <w:pStyle w:val="ListBullet"/>
      </w:pPr>
      <w:r>
        <w:t>The published contact details of the EU representative shall include, at minimum, the representative's legal name, postal address in the European Union, and a dedicated contact method for privacy-related communications.</w:t>
      </w:r>
    </w:p>
    <w:p>
      <w:pPr>
        <w:pStyle w:val="ListBullet"/>
      </w:pPr>
      <w:r>
        <w:t>[Organisation Name] shall keep the EU representative's contact details accurate, complete, and easily accessible to individuals and supervisory authorities.</w:t>
      </w:r>
    </w:p>
    <w:p>
      <w:pPr>
        <w:pStyle w:val="ListBullet"/>
      </w:pPr>
      <w:r>
        <w:t>[Organisation Name] shall ensure the EU representative is provided with sufficient information about relevant processing activities to respond appropriately to supervisory authority and individual enquiries.</w:t>
      </w:r>
    </w:p>
    <w:p>
      <w:pPr>
        <w:pStyle w:val="ListBullet"/>
      </w:pPr>
      <w:r>
        <w:t>[Organisation Name] shall make available to the EU representative current records of processing activities that relate to individuals in the European Union, unless a documented and approved legal basis exists for limiting access.</w:t>
      </w:r>
    </w:p>
    <w:p>
      <w:pPr>
        <w:pStyle w:val="ListBullet"/>
      </w:pPr>
      <w:r>
        <w:t>[Organisation Name] shall ensure the EU representative can access or request relevant records without undue delay when responding to supervisory authority enquiries.</w:t>
      </w:r>
    </w:p>
    <w:p>
      <w:pPr>
        <w:pStyle w:val="ListBullet"/>
      </w:pPr>
      <w:r>
        <w:t>The EU representative shall not be appointed as a symbolic or nominal contact only; it shall have a practical ability to facilitate communication between [Organisation Name], supervisory authorities, and individuals.</w:t>
      </w:r>
    </w:p>
    <w:p>
      <w:pPr>
        <w:pStyle w:val="ListBullet"/>
      </w:pPr>
      <w:r>
        <w:t>[Organisation Name] shall maintain a central register of EU representative assessments, appointments, agreements, notices, communications, and reviews.</w:t>
      </w:r>
    </w:p>
    <w:p>
      <w:pPr>
        <w:pStyle w:val="ListBullet"/>
      </w:pPr>
      <w:r>
        <w:t>[Organisation Name] shall require business units to notify the Privacy Office before launching or changing any product, service, campaign, website, app, analytics tool, monitoring activity, or market expansion that may involve individuals in the European Union.</w:t>
      </w:r>
    </w:p>
    <w:p>
      <w:pPr>
        <w:pStyle w:val="ListBullet"/>
      </w:pPr>
      <w:r>
        <w:t>[Organisation Name] shall include EU representative requirements in privacy impact assessments, vendor onboarding reviews, product launch reviews, and international market entry assessments where relevant.</w:t>
      </w:r>
    </w:p>
    <w:p>
      <w:pPr>
        <w:pStyle w:val="ListBullet"/>
      </w:pPr>
      <w:r>
        <w:t>[Organisation Name] shall ensure that the EU representative is informed of material changes to processing activities involving individuals in the European Union, including changes to:</w:t>
      </w:r>
    </w:p>
    <w:p>
      <w:pPr>
        <w:pStyle w:val="ListBullet"/>
      </w:pPr>
      <w:r>
        <w:t>categories of individuals affected;</w:t>
      </w:r>
    </w:p>
    <w:p>
      <w:pPr>
        <w:pStyle w:val="ListBullet"/>
      </w:pPr>
      <w:r>
        <w:t>categories of personal data processed;</w:t>
      </w:r>
    </w:p>
    <w:p>
      <w:pPr>
        <w:pStyle w:val="ListBullet"/>
      </w:pPr>
      <w:r>
        <w:t>purposes of processing;</w:t>
      </w:r>
    </w:p>
    <w:p>
      <w:pPr>
        <w:pStyle w:val="ListBullet"/>
      </w:pPr>
      <w:r>
        <w:t>geographic markets served;</w:t>
      </w:r>
    </w:p>
    <w:p>
      <w:pPr>
        <w:pStyle w:val="ListBullet"/>
      </w:pPr>
      <w:r>
        <w:t>use of profiling, tracking, or monitoring technologies;</w:t>
      </w:r>
    </w:p>
    <w:p>
      <w:pPr>
        <w:pStyle w:val="ListBullet"/>
      </w:pPr>
      <w:r>
        <w:t>data sharing arrangements;</w:t>
      </w:r>
    </w:p>
    <w:p>
      <w:pPr>
        <w:pStyle w:val="ListBullet"/>
      </w:pPr>
      <w:r>
        <w:t>high-risk processing activities;</w:t>
      </w:r>
    </w:p>
    <w:p>
      <w:pPr>
        <w:pStyle w:val="ListBullet"/>
      </w:pPr>
      <w:r>
        <w:t>supervisory authority interactions;</w:t>
      </w:r>
    </w:p>
    <w:p>
      <w:pPr>
        <w:pStyle w:val="ListBullet"/>
      </w:pPr>
      <w:r>
        <w:t>privacy complaints or disputes.</w:t>
      </w:r>
    </w:p>
    <w:p>
      <w:pPr>
        <w:pStyle w:val="ListBullet"/>
      </w:pPr>
      <w:r>
        <w:t>[Organisation Name] shall establish documented communication procedures with the EU representative for receiving, escalating, and responding to:</w:t>
      </w:r>
    </w:p>
    <w:p>
      <w:pPr>
        <w:pStyle w:val="ListBullet"/>
      </w:pPr>
      <w:r>
        <w:t>supervisory authority enquiries;</w:t>
      </w:r>
    </w:p>
    <w:p>
      <w:pPr>
        <w:pStyle w:val="ListBullet"/>
      </w:pPr>
      <w:r>
        <w:t>individual rights requests;</w:t>
      </w:r>
    </w:p>
    <w:p>
      <w:pPr>
        <w:pStyle w:val="ListBullet"/>
      </w:pPr>
      <w:r>
        <w:t>privacy complaints;</w:t>
      </w:r>
    </w:p>
    <w:p>
      <w:pPr>
        <w:pStyle w:val="ListBullet"/>
      </w:pPr>
      <w:r>
        <w:t>investigation notices;</w:t>
      </w:r>
    </w:p>
    <w:p>
      <w:pPr>
        <w:pStyle w:val="ListBullet"/>
      </w:pPr>
      <w:r>
        <w:t>requests for records of processing;</w:t>
      </w:r>
    </w:p>
    <w:p>
      <w:pPr>
        <w:pStyle w:val="ListBullet"/>
      </w:pPr>
      <w:r>
        <w:t>data breach-related enquiries;</w:t>
      </w:r>
    </w:p>
    <w:p>
      <w:pPr>
        <w:pStyle w:val="ListBullet"/>
      </w:pPr>
      <w:r>
        <w:t>requests for clarification about [Organisation Name]'s privacy notices or processing activities.</w:t>
      </w:r>
    </w:p>
    <w:p>
      <w:pPr>
        <w:pStyle w:val="ListBullet"/>
      </w:pPr>
      <w:r>
        <w:t>[Organisation Name] shall require the EU representative to acknowledge receipt of supervisory authority communications and forward them to the Privacy Office within the agreed service level.</w:t>
      </w:r>
    </w:p>
    <w:p>
      <w:pPr>
        <w:pStyle w:val="ListBullet"/>
      </w:pPr>
      <w:r>
        <w:t>[Organisation Name] shall require the EU representative to forward individual privacy enquiries or complaints to the Privacy Office within the agreed service level.</w:t>
      </w:r>
    </w:p>
    <w:p>
      <w:pPr>
        <w:pStyle w:val="ListBullet"/>
      </w:pPr>
      <w:r>
        <w:t>[Organisation Name] shall retain accountability for responding to supervisory authorities and individuals, even where communications are routed through the EU representative.</w:t>
      </w:r>
    </w:p>
    <w:p>
      <w:pPr>
        <w:pStyle w:val="ListBullet"/>
      </w:pPr>
      <w:r>
        <w:t>[Organisation Name] shall not instruct the EU representative to withhold, delay, alter, or suppress legitimate communications from individuals or supervisory authorities.</w:t>
      </w:r>
    </w:p>
    <w:p>
      <w:pPr>
        <w:pStyle w:val="ListBullet"/>
      </w:pPr>
      <w:r>
        <w:t>[Organisation Name] shall ensure that personal data shared with the EU representative is limited to what is necessary for the representative to perform its duties.</w:t>
      </w:r>
    </w:p>
    <w:p>
      <w:pPr>
        <w:pStyle w:val="ListBullet"/>
      </w:pPr>
      <w:r>
        <w:t>[Organisation Name] shall ensure that any transfer of personal data to or from the EU representative is protected by appropriate contractual, technical, and organisational safeguards.</w:t>
      </w:r>
    </w:p>
    <w:p>
      <w:pPr>
        <w:pStyle w:val="ListBullet"/>
      </w:pPr>
      <w:r>
        <w:t>[Organisation Name] shall ensure that the EU representative maintains appropriate confidentiality, access control, secure communication, incident reporting, and record protection measures.</w:t>
      </w:r>
    </w:p>
    <w:p>
      <w:pPr>
        <w:pStyle w:val="ListBullet"/>
      </w:pPr>
      <w:r>
        <w:t>[Organisation Name] shall require the EU representative to notify the Privacy Office without undue delay of any suspected or confirmed compromise, unauthorised disclosure, loss, or misuse of personal data or confidential information relating to [Organisation Name].</w:t>
      </w:r>
    </w:p>
    <w:p>
      <w:pPr>
        <w:pStyle w:val="ListBullet"/>
      </w:pPr>
      <w:r>
        <w:t>[Organisation Name] shall review the continued suitability of the EU representative at least annually and whenever there is a material change in processing operations, regulatory exposure, market presence, or representative performance.</w:t>
      </w:r>
    </w:p>
    <w:p>
      <w:pPr>
        <w:pStyle w:val="ListBullet"/>
      </w:pPr>
      <w:r>
        <w:t>[Organisation Name] shall replace the EU representative where the representative is no longer suitably located, competent, available, independent, secure, contractually bound, or able to perform the role effectively.</w:t>
      </w:r>
    </w:p>
    <w:p>
      <w:pPr>
        <w:pStyle w:val="ListBullet"/>
      </w:pPr>
      <w:r>
        <w:t>[Organisation Name] shall ensure that termination or replacement of an EU representative does not create a gap in required representation.</w:t>
      </w:r>
    </w:p>
    <w:p>
      <w:pPr>
        <w:pStyle w:val="ListBullet"/>
      </w:pPr>
      <w:r>
        <w:t>[Organisation Name] shall update privacy notices, internal registers, supervisory authority communications, and related documentation promptly when the EU representative is appointed, replaced, or its contact details change.</w:t>
      </w:r>
    </w:p>
    <w:p>
      <w:pPr>
        <w:pStyle w:val="ListBullet"/>
      </w:pPr>
      <w:r>
        <w:t>[Organisation Name] shall retain evidence of EU representative designation and related compliance activities in accordance with the applicable records retention schedule.</w:t>
      </w:r>
    </w:p>
    <w:p>
      <w:pPr>
        <w:pStyle w:val="ListBullet"/>
      </w:pPr>
      <w:r>
        <w:t>[Organisation Name] shall ensure that employees and relevant contractors involved in EU-facing processing understand when to involve the Privacy Office and the EU representative.</w:t>
      </w:r>
    </w:p>
    <w:p>
      <w:pPr>
        <w:pStyle w:val="ListBullet"/>
      </w:pPr>
      <w:r>
        <w:t>[Organisation Name] shall not launch EU-targeted offerings or monitoring activities without completing required privacy review steps, including assessment of EU representative obligations.</w:t>
      </w:r>
    </w:p>
    <w:p>
      <w:pPr>
        <w:pStyle w:val="ListBullet"/>
      </w:pPr>
      <w:r>
        <w:t>Where [Organisation Name] acts as a processor for a customer and an EU representative may be required for [Organisation Name]'s processing role, [Organisation Name] shall assess and document its own obligation independently of the customer's compliance position.</w:t>
      </w:r>
    </w:p>
    <w:p>
      <w:pPr>
        <w:pStyle w:val="ListBullet"/>
      </w:pPr>
      <w:r>
        <w:t>Where [Organisation Name] acts as a controller and engages processors outside the European Union, [Organisation Name] shall ensure such processors provide information necessary to support [Organisation Name]'s EU representative assessment and related compliance obligations.</w:t>
      </w:r>
    </w:p>
    <w:p>
      <w:pPr>
        <w:pStyle w:val="ListBullet"/>
      </w:pPr>
      <w:r>
        <w:t>The Privacy Office shall maintain the following minimum service levels for EU representative communications unless stricter timelines are required by law, contract, or supervisory authority instruction: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Communication Type</w:t>
            </w:r>
          </w:p>
        </w:tc>
        <w:tc>
          <w:tcPr>
            <w:tcW w:type="dxa" w:w="2160"/>
          </w:tcPr>
          <w:p>
            <w:r>
              <w:t>EU Representative Acknowledgement to Sender</w:t>
            </w:r>
          </w:p>
        </w:tc>
        <w:tc>
          <w:tcPr>
            <w:tcW w:type="dxa" w:w="2160"/>
          </w:tcPr>
          <w:p>
            <w:r>
              <w:t>Forwarding to Privacy Office</w:t>
            </w:r>
          </w:p>
        </w:tc>
        <w:tc>
          <w:tcPr>
            <w:tcW w:type="dxa" w:w="2160"/>
          </w:tcPr>
          <w:p>
            <w:r>
              <w:t>Internal Triage by Privacy Office</w:t>
            </w:r>
          </w:p>
        </w:tc>
      </w:tr>
      <w:tr>
        <w:tc>
          <w:tcPr>
            <w:tcW w:type="dxa" w:w="2160"/>
          </w:tcPr>
          <w:p>
            <w:r>
              <w:t>Supervisory authority enquiry or investigation notice</w:t>
            </w:r>
          </w:p>
        </w:tc>
        <w:tc>
          <w:tcPr>
            <w:tcW w:type="dxa" w:w="2160"/>
          </w:tcPr>
          <w:p>
            <w:r>
              <w:t>Within 1 business day</w:t>
            </w:r>
          </w:p>
        </w:tc>
        <w:tc>
          <w:tcPr>
            <w:tcW w:type="dxa" w:w="2160"/>
          </w:tcPr>
          <w:p>
            <w:r>
              <w:t>Within 1 business day</w:t>
            </w:r>
          </w:p>
        </w:tc>
        <w:tc>
          <w:tcPr>
            <w:tcW w:type="dxa" w:w="2160"/>
          </w:tcPr>
          <w:p>
            <w:r>
              <w:t>Within 1 business day of receipt</w:t>
            </w:r>
          </w:p>
        </w:tc>
      </w:tr>
      <w:tr>
        <w:tc>
          <w:tcPr>
            <w:tcW w:type="dxa" w:w="2160"/>
          </w:tcPr>
          <w:p>
            <w:r>
              <w:t>Individual rights request</w:t>
            </w:r>
          </w:p>
        </w:tc>
        <w:tc>
          <w:tcPr>
            <w:tcW w:type="dxa" w:w="2160"/>
          </w:tcPr>
          <w:p>
            <w:r>
              <w:t>Within 2 business days</w:t>
            </w:r>
          </w:p>
        </w:tc>
        <w:tc>
          <w:tcPr>
            <w:tcW w:type="dxa" w:w="2160"/>
          </w:tcPr>
          <w:p>
            <w:r>
              <w:t>Within 2 business days</w:t>
            </w:r>
          </w:p>
        </w:tc>
        <w:tc>
          <w:tcPr>
            <w:tcW w:type="dxa" w:w="2160"/>
          </w:tcPr>
          <w:p>
            <w:r>
              <w:t>Within 3 business days of receipt</w:t>
            </w:r>
          </w:p>
        </w:tc>
      </w:tr>
      <w:tr>
        <w:tc>
          <w:tcPr>
            <w:tcW w:type="dxa" w:w="2160"/>
          </w:tcPr>
          <w:p>
            <w:r>
              <w:t>Privacy complaint</w:t>
            </w:r>
          </w:p>
        </w:tc>
        <w:tc>
          <w:tcPr>
            <w:tcW w:type="dxa" w:w="2160"/>
          </w:tcPr>
          <w:p>
            <w:r>
              <w:t>Within 2 business days</w:t>
            </w:r>
          </w:p>
        </w:tc>
        <w:tc>
          <w:tcPr>
            <w:tcW w:type="dxa" w:w="2160"/>
          </w:tcPr>
          <w:p>
            <w:r>
              <w:t>Within 2 business days</w:t>
            </w:r>
          </w:p>
        </w:tc>
        <w:tc>
          <w:tcPr>
            <w:tcW w:type="dxa" w:w="2160"/>
          </w:tcPr>
          <w:p>
            <w:r>
              <w:t>Within 3 business days of receipt</w:t>
            </w:r>
          </w:p>
        </w:tc>
      </w:tr>
      <w:tr>
        <w:tc>
          <w:tcPr>
            <w:tcW w:type="dxa" w:w="2160"/>
          </w:tcPr>
          <w:p>
            <w:r>
              <w:t>Data breach-related enquiry</w:t>
            </w:r>
          </w:p>
        </w:tc>
        <w:tc>
          <w:tcPr>
            <w:tcW w:type="dxa" w:w="2160"/>
          </w:tcPr>
          <w:p>
            <w:r>
              <w:t>Within 1 business day</w:t>
            </w:r>
          </w:p>
        </w:tc>
        <w:tc>
          <w:tcPr>
            <w:tcW w:type="dxa" w:w="2160"/>
          </w:tcPr>
          <w:p>
            <w:r>
              <w:t>Same business day where practicable</w:t>
            </w:r>
          </w:p>
        </w:tc>
        <w:tc>
          <w:tcPr>
            <w:tcW w:type="dxa" w:w="2160"/>
          </w:tcPr>
          <w:p>
            <w:r>
              <w:t>Same business day where practicable</w:t>
            </w:r>
          </w:p>
        </w:tc>
      </w:tr>
      <w:tr>
        <w:tc>
          <w:tcPr>
            <w:tcW w:type="dxa" w:w="2160"/>
          </w:tcPr>
          <w:p>
            <w:r>
              <w:t>General privacy enquiry</w:t>
            </w:r>
          </w:p>
        </w:tc>
        <w:tc>
          <w:tcPr>
            <w:tcW w:type="dxa" w:w="2160"/>
          </w:tcPr>
          <w:p>
            <w:r>
              <w:t>Within 5 business days</w:t>
            </w:r>
          </w:p>
        </w:tc>
        <w:tc>
          <w:tcPr>
            <w:tcW w:type="dxa" w:w="2160"/>
          </w:tcPr>
          <w:p>
            <w:r>
              <w:t>Within 5 business days</w:t>
            </w:r>
          </w:p>
        </w:tc>
        <w:tc>
          <w:tcPr>
            <w:tcW w:type="dxa" w:w="2160"/>
          </w:tcPr>
          <w:p>
            <w:r>
              <w:t>Within 5 business days of receipt</w:t>
            </w:r>
          </w:p>
        </w:tc>
      </w:tr>
    </w:tbl>
    <w:p>
      <w:pPr>
        <w:pStyle w:val="ListBullet"/>
      </w:pPr>
      <w:r>
        <w:t>[Organisation Name] shall maintain the following minimum evidence set for audit and accountability purposes:</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Item</w:t>
            </w:r>
          </w:p>
        </w:tc>
        <w:tc>
          <w:tcPr>
            <w:tcW w:type="dxa" w:w="2880"/>
          </w:tcPr>
          <w:p>
            <w:r>
              <w:t>Responsible Owner</w:t>
            </w:r>
          </w:p>
        </w:tc>
        <w:tc>
          <w:tcPr>
            <w:tcW w:type="dxa" w:w="2880"/>
          </w:tcPr>
          <w:p>
            <w:r>
              <w:t>Minimum Retention</w:t>
            </w:r>
          </w:p>
        </w:tc>
      </w:tr>
      <w:tr>
        <w:tc>
          <w:tcPr>
            <w:tcW w:type="dxa" w:w="2880"/>
          </w:tcPr>
          <w:p>
            <w:r>
              <w:t>EU representative applicability assessment</w:t>
            </w:r>
          </w:p>
        </w:tc>
        <w:tc>
          <w:tcPr>
            <w:tcW w:type="dxa" w:w="2880"/>
          </w:tcPr>
          <w:p>
            <w:r>
              <w:t>Privacy Office</w:t>
            </w:r>
          </w:p>
        </w:tc>
        <w:tc>
          <w:tcPr>
            <w:tcW w:type="dxa" w:w="2880"/>
          </w:tcPr>
          <w:p>
            <w:r>
              <w:t>[Retention Period]</w:t>
            </w:r>
          </w:p>
        </w:tc>
      </w:tr>
      <w:tr>
        <w:tc>
          <w:tcPr>
            <w:tcW w:type="dxa" w:w="2880"/>
          </w:tcPr>
          <w:p>
            <w:r>
              <w:t>Appointment approval record</w:t>
            </w:r>
          </w:p>
        </w:tc>
        <w:tc>
          <w:tcPr>
            <w:tcW w:type="dxa" w:w="2880"/>
          </w:tcPr>
          <w:p>
            <w:r>
              <w:t>Privacy Office</w:t>
            </w:r>
          </w:p>
        </w:tc>
        <w:tc>
          <w:tcPr>
            <w:tcW w:type="dxa" w:w="2880"/>
          </w:tcPr>
          <w:p>
            <w:r>
              <w:t>[Retention Period]</w:t>
            </w:r>
          </w:p>
        </w:tc>
      </w:tr>
      <w:tr>
        <w:tc>
          <w:tcPr>
            <w:tcW w:type="dxa" w:w="2880"/>
          </w:tcPr>
          <w:p>
            <w:r>
              <w:t>Executed EU representative agreement</w:t>
            </w:r>
          </w:p>
        </w:tc>
        <w:tc>
          <w:tcPr>
            <w:tcW w:type="dxa" w:w="2880"/>
          </w:tcPr>
          <w:p>
            <w:r>
              <w:t>Legal / Privacy Office</w:t>
            </w:r>
          </w:p>
        </w:tc>
        <w:tc>
          <w:tcPr>
            <w:tcW w:type="dxa" w:w="2880"/>
          </w:tcPr>
          <w:p>
            <w:r>
              <w:t>[Retention Period]</w:t>
            </w:r>
          </w:p>
        </w:tc>
      </w:tr>
      <w:tr>
        <w:tc>
          <w:tcPr>
            <w:tcW w:type="dxa" w:w="2880"/>
          </w:tcPr>
          <w:p>
            <w:r>
              <w:t>Due diligence records</w:t>
            </w:r>
          </w:p>
        </w:tc>
        <w:tc>
          <w:tcPr>
            <w:tcW w:type="dxa" w:w="2880"/>
          </w:tcPr>
          <w:p>
            <w:r>
              <w:t>Privacy Office / Procurement</w:t>
            </w:r>
          </w:p>
        </w:tc>
        <w:tc>
          <w:tcPr>
            <w:tcW w:type="dxa" w:w="2880"/>
          </w:tcPr>
          <w:p>
            <w:r>
              <w:t>[Retention Period]</w:t>
            </w:r>
          </w:p>
        </w:tc>
      </w:tr>
      <w:tr>
        <w:tc>
          <w:tcPr>
            <w:tcW w:type="dxa" w:w="2880"/>
          </w:tcPr>
          <w:p>
            <w:r>
              <w:t>Published privacy notice showing representative details</w:t>
            </w:r>
          </w:p>
        </w:tc>
        <w:tc>
          <w:tcPr>
            <w:tcW w:type="dxa" w:w="2880"/>
          </w:tcPr>
          <w:p>
            <w:r>
              <w:t>Privacy Office / Marketing</w:t>
            </w:r>
          </w:p>
        </w:tc>
        <w:tc>
          <w:tcPr>
            <w:tcW w:type="dxa" w:w="2880"/>
          </w:tcPr>
          <w:p>
            <w:r>
              <w:t>[Retention Period]</w:t>
            </w:r>
          </w:p>
        </w:tc>
      </w:tr>
      <w:tr>
        <w:tc>
          <w:tcPr>
            <w:tcW w:type="dxa" w:w="2880"/>
          </w:tcPr>
          <w:p>
            <w:r>
              <w:t>Records of processing shared with representative</w:t>
            </w:r>
          </w:p>
        </w:tc>
        <w:tc>
          <w:tcPr>
            <w:tcW w:type="dxa" w:w="2880"/>
          </w:tcPr>
          <w:p>
            <w:r>
              <w:t>Privacy Office</w:t>
            </w:r>
          </w:p>
        </w:tc>
        <w:tc>
          <w:tcPr>
            <w:tcW w:type="dxa" w:w="2880"/>
          </w:tcPr>
          <w:p>
            <w:r>
              <w:t>[Retention Period]</w:t>
            </w:r>
          </w:p>
        </w:tc>
      </w:tr>
      <w:tr>
        <w:tc>
          <w:tcPr>
            <w:tcW w:type="dxa" w:w="2880"/>
          </w:tcPr>
          <w:p>
            <w:r>
              <w:t>Communications log with representative</w:t>
            </w:r>
          </w:p>
        </w:tc>
        <w:tc>
          <w:tcPr>
            <w:tcW w:type="dxa" w:w="2880"/>
          </w:tcPr>
          <w:p>
            <w:r>
              <w:t>Privacy Office</w:t>
            </w:r>
          </w:p>
        </w:tc>
        <w:tc>
          <w:tcPr>
            <w:tcW w:type="dxa" w:w="2880"/>
          </w:tcPr>
          <w:p>
            <w:r>
              <w:t>[Retention Period]</w:t>
            </w:r>
          </w:p>
        </w:tc>
      </w:tr>
      <w:tr>
        <w:tc>
          <w:tcPr>
            <w:tcW w:type="dxa" w:w="2880"/>
          </w:tcPr>
          <w:p>
            <w:r>
              <w:t>Supervisory authority correspondence</w:t>
            </w:r>
          </w:p>
        </w:tc>
        <w:tc>
          <w:tcPr>
            <w:tcW w:type="dxa" w:w="2880"/>
          </w:tcPr>
          <w:p>
            <w:r>
              <w:t>Privacy Office / Legal</w:t>
            </w:r>
          </w:p>
        </w:tc>
        <w:tc>
          <w:tcPr>
            <w:tcW w:type="dxa" w:w="2880"/>
          </w:tcPr>
          <w:p>
            <w:r>
              <w:t>[Retention Period]</w:t>
            </w:r>
          </w:p>
        </w:tc>
      </w:tr>
      <w:tr>
        <w:tc>
          <w:tcPr>
            <w:tcW w:type="dxa" w:w="2880"/>
          </w:tcPr>
          <w:p>
            <w:r>
              <w:t>Individual requests or complaints routed through representative</w:t>
            </w:r>
          </w:p>
        </w:tc>
        <w:tc>
          <w:tcPr>
            <w:tcW w:type="dxa" w:w="2880"/>
          </w:tcPr>
          <w:p>
            <w:r>
              <w:t>Privacy Office</w:t>
            </w:r>
          </w:p>
        </w:tc>
        <w:tc>
          <w:tcPr>
            <w:tcW w:type="dxa" w:w="2880"/>
          </w:tcPr>
          <w:p>
            <w:r>
              <w:t>[Retention Period]</w:t>
            </w:r>
          </w:p>
        </w:tc>
      </w:tr>
      <w:tr>
        <w:tc>
          <w:tcPr>
            <w:tcW w:type="dxa" w:w="2880"/>
          </w:tcPr>
          <w:p>
            <w:r>
              <w:t>Annual representative review</w:t>
            </w:r>
          </w:p>
        </w:tc>
        <w:tc>
          <w:tcPr>
            <w:tcW w:type="dxa" w:w="2880"/>
          </w:tcPr>
          <w:p>
            <w:r>
              <w:t>Privacy Office</w:t>
            </w:r>
          </w:p>
        </w:tc>
        <w:tc>
          <w:tcPr>
            <w:tcW w:type="dxa" w:w="2880"/>
          </w:tcPr>
          <w:p>
            <w:r>
              <w:t>[Retention Period]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Leadership</w:t>
            </w:r>
          </w:p>
        </w:tc>
        <w:tc>
          <w:tcPr>
            <w:tcW w:type="dxa" w:w="4320"/>
          </w:tcPr>
          <w:p>
            <w:r>
              <w:t>Ensure [Organisation Name] has appropriate governance, funding, and oversight for GDPR compliance, including EU representative designation where required.</w:t>
            </w:r>
          </w:p>
        </w:tc>
      </w:tr>
      <w:tr>
        <w:tc>
          <w:tcPr>
            <w:tcW w:type="dxa" w:w="4320"/>
          </w:tcPr>
          <w:p>
            <w:r>
              <w:t>Data Protection Officer / Privacy Office</w:t>
            </w:r>
          </w:p>
        </w:tc>
        <w:tc>
          <w:tcPr>
            <w:tcW w:type="dxa" w:w="4320"/>
          </w:tcPr>
          <w:p>
            <w:r>
              <w:t>Own this Policy; assess whether an EU representative is required; approve designation decisions; maintain records; oversee representative performance; coordinate responses to supervisory authorities and individuals.</w:t>
            </w:r>
          </w:p>
        </w:tc>
      </w:tr>
      <w:tr>
        <w:tc>
          <w:tcPr>
            <w:tcW w:type="dxa" w:w="4320"/>
          </w:tcPr>
          <w:p>
            <w:r>
              <w:t>Legal Department</w:t>
            </w:r>
          </w:p>
        </w:tc>
        <w:tc>
          <w:tcPr>
            <w:tcW w:type="dxa" w:w="4320"/>
          </w:tcPr>
          <w:p>
            <w:r>
              <w:t>Review and approve the written mandate, contract terms, regulatory communications, liability considerations, and termination or replacement arrangements.</w:t>
            </w:r>
          </w:p>
        </w:tc>
      </w:tr>
      <w:tr>
        <w:tc>
          <w:tcPr>
            <w:tcW w:type="dxa" w:w="4320"/>
          </w:tcPr>
          <w:p>
            <w:r>
              <w:t>Procurement / Vendor Management</w:t>
            </w:r>
          </w:p>
        </w:tc>
        <w:tc>
          <w:tcPr>
            <w:tcW w:type="dxa" w:w="4320"/>
          </w:tcPr>
          <w:p>
            <w:r>
              <w:t>Support due diligence, contracting, onboarding, periodic review, and offboarding of the EU representative as a service provider.</w:t>
            </w:r>
          </w:p>
        </w:tc>
      </w:tr>
      <w:tr>
        <w:tc>
          <w:tcPr>
            <w:tcW w:type="dxa" w:w="4320"/>
          </w:tcPr>
          <w:p>
            <w:r>
              <w:t>Business Unit Owners</w:t>
            </w:r>
          </w:p>
        </w:tc>
        <w:tc>
          <w:tcPr>
            <w:tcW w:type="dxa" w:w="4320"/>
          </w:tcPr>
          <w:p>
            <w:r>
              <w:t>Notify the Privacy Office of EU-facing processing activities; provide accurate information about products, services, markets, data subjects, personal data, monitoring activities, and processing purposes.</w:t>
            </w:r>
          </w:p>
        </w:tc>
      </w:tr>
      <w:tr>
        <w:tc>
          <w:tcPr>
            <w:tcW w:type="dxa" w:w="4320"/>
          </w:tcPr>
          <w:p>
            <w:r>
              <w:t>Marketing / Digital / Product Teams</w:t>
            </w:r>
          </w:p>
        </w:tc>
        <w:tc>
          <w:tcPr>
            <w:tcW w:type="dxa" w:w="4320"/>
          </w:tcPr>
          <w:p>
            <w:r>
              <w:t>Ensure EU-targeted websites, apps, campaigns, tracking technologies, and customer journeys are reviewed before launch and that privacy notices include accurate representative details where required.</w:t>
            </w:r>
          </w:p>
        </w:tc>
      </w:tr>
      <w:tr>
        <w:tc>
          <w:tcPr>
            <w:tcW w:type="dxa" w:w="4320"/>
          </w:tcPr>
          <w:p>
            <w:r>
              <w:t>Information Security</w:t>
            </w:r>
          </w:p>
        </w:tc>
        <w:tc>
          <w:tcPr>
            <w:tcW w:type="dxa" w:w="4320"/>
          </w:tcPr>
          <w:p>
            <w:r>
              <w:t>Assess and advise on security safeguards for information shared with the EU representative; support incident response involving the representative.</w:t>
            </w:r>
          </w:p>
        </w:tc>
      </w:tr>
      <w:tr>
        <w:tc>
          <w:tcPr>
            <w:tcW w:type="dxa" w:w="4320"/>
          </w:tcPr>
          <w:p>
            <w:r>
              <w:t>Records Management</w:t>
            </w:r>
          </w:p>
        </w:tc>
        <w:tc>
          <w:tcPr>
            <w:tcW w:type="dxa" w:w="4320"/>
          </w:tcPr>
          <w:p>
            <w:r>
              <w:t>Ensure EU representative-related records are retained, protected, retrievable, and disposed of in line with approved retention requirements.</w:t>
            </w:r>
          </w:p>
        </w:tc>
      </w:tr>
      <w:tr>
        <w:tc>
          <w:tcPr>
            <w:tcW w:type="dxa" w:w="4320"/>
          </w:tcPr>
          <w:p>
            <w:r>
              <w:t>EU Representative</w:t>
            </w:r>
          </w:p>
        </w:tc>
        <w:tc>
          <w:tcPr>
            <w:tcW w:type="dxa" w:w="4320"/>
          </w:tcPr>
          <w:p>
            <w:r>
              <w:t>Act as the designated point of contact in the European Union; receive and forward communications; support supervisory authority and individual enquiries; maintain confidentiality; protect records; comply with the written mandate.</w:t>
            </w:r>
          </w:p>
        </w:tc>
      </w:tr>
      <w:tr>
        <w:tc>
          <w:tcPr>
            <w:tcW w:type="dxa" w:w="4320"/>
          </w:tcPr>
          <w:p>
            <w:r>
              <w:t>Employees and Contractors</w:t>
            </w:r>
          </w:p>
        </w:tc>
        <w:tc>
          <w:tcPr>
            <w:tcW w:type="dxa" w:w="4320"/>
          </w:tcPr>
          <w:p>
            <w:r>
              <w:t>Follow this Policy, escalate EU-related processing plans to the Privacy Office, and cooperate with requests for information needed to support representative obligations.</w:t>
            </w:r>
          </w:p>
        </w:tc>
      </w:tr>
    </w:tbl>
    <w:p>
      <w:pPr>
        <w:pStyle w:val="Heading2"/>
      </w:pPr>
      <w:r>
        <w:t>Compliance, Monitoring &amp; Enforcement</w:t>
      </w:r>
    </w:p>
    <w:p>
      <w:r>
        <w:t>Compliance with this Policy is mandatory.</w:t>
      </w:r>
    </w:p>
    <w:p>
      <w:r>
        <w:t>The Privacy Office shall monitor compliance through periodic reviews, privacy impact assessment checks, product launch reviews, vendor reviews, records sampling, and review of communications with the EU representative.</w:t>
      </w:r>
    </w:p>
    <w:p>
      <w:r>
        <w:t>The following monitoring activities shall be performed at the stated minimum frequency:</w:t>
      </w:r>
    </w:p>
    <w:tbl>
      <w:tblPr>
        <w:tblStyle w:val="TableGrid"/>
        <w:tblW w:type="auto" w:w="0"/>
        <w:tblLook w:firstColumn="1" w:firstRow="1" w:lastColumn="0" w:lastRow="0" w:noHBand="0" w:noVBand="1" w:val="04A0"/>
      </w:tblPr>
      <w:tblGrid>
        <w:gridCol w:w="2880"/>
        <w:gridCol w:w="2880"/>
        <w:gridCol w:w="2880"/>
      </w:tblGrid>
      <w:tr>
        <w:tc>
          <w:tcPr>
            <w:tcW w:type="dxa" w:w="2880"/>
          </w:tcPr>
          <w:p>
            <w:r>
              <w:t>Monitoring Activity</w:t>
            </w:r>
          </w:p>
        </w:tc>
        <w:tc>
          <w:tcPr>
            <w:tcW w:type="dxa" w:w="2880"/>
          </w:tcPr>
          <w:p>
            <w:r>
              <w:t>Owner</w:t>
            </w:r>
          </w:p>
        </w:tc>
        <w:tc>
          <w:tcPr>
            <w:tcW w:type="dxa" w:w="2880"/>
          </w:tcPr>
          <w:p>
            <w:r>
              <w:t>Frequency</w:t>
            </w:r>
          </w:p>
        </w:tc>
      </w:tr>
      <w:tr>
        <w:tc>
          <w:tcPr>
            <w:tcW w:type="dxa" w:w="2880"/>
          </w:tcPr>
          <w:p>
            <w:r>
              <w:t>Review of EU representative applicability assessments</w:t>
            </w:r>
          </w:p>
        </w:tc>
        <w:tc>
          <w:tcPr>
            <w:tcW w:type="dxa" w:w="2880"/>
          </w:tcPr>
          <w:p>
            <w:r>
              <w:t>Privacy Office</w:t>
            </w:r>
          </w:p>
        </w:tc>
        <w:tc>
          <w:tcPr>
            <w:tcW w:type="dxa" w:w="2880"/>
          </w:tcPr>
          <w:p>
            <w:r>
              <w:t>Quarterly</w:t>
            </w:r>
          </w:p>
        </w:tc>
      </w:tr>
      <w:tr>
        <w:tc>
          <w:tcPr>
            <w:tcW w:type="dxa" w:w="2880"/>
          </w:tcPr>
          <w:p>
            <w:r>
              <w:t>Verification that privacy notices include current representative details</w:t>
            </w:r>
          </w:p>
        </w:tc>
        <w:tc>
          <w:tcPr>
            <w:tcW w:type="dxa" w:w="2880"/>
          </w:tcPr>
          <w:p>
            <w:r>
              <w:t>Privacy Office / Marketing</w:t>
            </w:r>
          </w:p>
        </w:tc>
        <w:tc>
          <w:tcPr>
            <w:tcW w:type="dxa" w:w="2880"/>
          </w:tcPr>
          <w:p>
            <w:r>
              <w:t>Quarterly</w:t>
            </w:r>
          </w:p>
        </w:tc>
      </w:tr>
      <w:tr>
        <w:tc>
          <w:tcPr>
            <w:tcW w:type="dxa" w:w="2880"/>
          </w:tcPr>
          <w:p>
            <w:r>
              <w:t>Review of EU representative communication logs and service levels</w:t>
            </w:r>
          </w:p>
        </w:tc>
        <w:tc>
          <w:tcPr>
            <w:tcW w:type="dxa" w:w="2880"/>
          </w:tcPr>
          <w:p>
            <w:r>
              <w:t>Privacy Office</w:t>
            </w:r>
          </w:p>
        </w:tc>
        <w:tc>
          <w:tcPr>
            <w:tcW w:type="dxa" w:w="2880"/>
          </w:tcPr>
          <w:p>
            <w:r>
              <w:t>Quarterly</w:t>
            </w:r>
          </w:p>
        </w:tc>
      </w:tr>
      <w:tr>
        <w:tc>
          <w:tcPr>
            <w:tcW w:type="dxa" w:w="2880"/>
          </w:tcPr>
          <w:p>
            <w:r>
              <w:t>Review of representative due diligence and contractual status</w:t>
            </w:r>
          </w:p>
        </w:tc>
        <w:tc>
          <w:tcPr>
            <w:tcW w:type="dxa" w:w="2880"/>
          </w:tcPr>
          <w:p>
            <w:r>
              <w:t>Privacy Office / Procurement</w:t>
            </w:r>
          </w:p>
        </w:tc>
        <w:tc>
          <w:tcPr>
            <w:tcW w:type="dxa" w:w="2880"/>
          </w:tcPr>
          <w:p>
            <w:r>
              <w:t>Annually</w:t>
            </w:r>
          </w:p>
        </w:tc>
      </w:tr>
      <w:tr>
        <w:tc>
          <w:tcPr>
            <w:tcW w:type="dxa" w:w="2880"/>
          </w:tcPr>
          <w:p>
            <w:r>
              <w:t>Review of records of processing provided or available to the representative</w:t>
            </w:r>
          </w:p>
        </w:tc>
        <w:tc>
          <w:tcPr>
            <w:tcW w:type="dxa" w:w="2880"/>
          </w:tcPr>
          <w:p>
            <w:r>
              <w:t>Privacy Office</w:t>
            </w:r>
          </w:p>
        </w:tc>
        <w:tc>
          <w:tcPr>
            <w:tcW w:type="dxa" w:w="2880"/>
          </w:tcPr>
          <w:p>
            <w:r>
              <w:t>Annually</w:t>
            </w:r>
          </w:p>
        </w:tc>
      </w:tr>
      <w:tr>
        <w:tc>
          <w:tcPr>
            <w:tcW w:type="dxa" w:w="2880"/>
          </w:tcPr>
          <w:p>
            <w:r>
              <w:t>Review of market expansion and EU-targeting activities</w:t>
            </w:r>
          </w:p>
        </w:tc>
        <w:tc>
          <w:tcPr>
            <w:tcW w:type="dxa" w:w="2880"/>
          </w:tcPr>
          <w:p>
            <w:r>
              <w:t>Privacy Office / Business Owners</w:t>
            </w:r>
          </w:p>
        </w:tc>
        <w:tc>
          <w:tcPr>
            <w:tcW w:type="dxa" w:w="2880"/>
          </w:tcPr>
          <w:p>
            <w:r>
              <w:t>At launch and upon material change</w:t>
            </w:r>
          </w:p>
        </w:tc>
      </w:tr>
      <w:tr>
        <w:tc>
          <w:tcPr>
            <w:tcW w:type="dxa" w:w="2880"/>
          </w:tcPr>
          <w:p>
            <w:r>
              <w:t>Review of representative performance and suitability</w:t>
            </w:r>
          </w:p>
        </w:tc>
        <w:tc>
          <w:tcPr>
            <w:tcW w:type="dxa" w:w="2880"/>
          </w:tcPr>
          <w:p>
            <w:r>
              <w:t>Privacy Office / Legal</w:t>
            </w:r>
          </w:p>
        </w:tc>
        <w:tc>
          <w:tcPr>
            <w:tcW w:type="dxa" w:w="2880"/>
          </w:tcPr>
          <w:p>
            <w:r>
              <w:t>Annually</w:t>
            </w:r>
          </w:p>
        </w:tc>
      </w:tr>
      <w:tr>
        <w:tc>
          <w:tcPr>
            <w:tcW w:type="dxa" w:w="2880"/>
          </w:tcPr>
          <w:p>
            <w:r>
              <w:t>Testing of escalation process for supervisory authority communications</w:t>
            </w:r>
          </w:p>
        </w:tc>
        <w:tc>
          <w:tcPr>
            <w:tcW w:type="dxa" w:w="2880"/>
          </w:tcPr>
          <w:p>
            <w:r>
              <w:t>Privacy Office</w:t>
            </w:r>
          </w:p>
        </w:tc>
        <w:tc>
          <w:tcPr>
            <w:tcW w:type="dxa" w:w="2880"/>
          </w:tcPr>
          <w:p>
            <w:r>
              <w:t>Annually</w:t>
            </w:r>
          </w:p>
        </w:tc>
      </w:tr>
    </w:tbl>
    <w:p>
      <w:r>
        <w:t>Non-compliance with this Policy may result in corrective action, including suspension of processing activities, withdrawal of product launch approval, mandatory remediation plans, contract review, supplier replacement, disciplinary action, or other measures permitted by [Organisation Name]'s policies and applicable law.</w:t>
      </w:r>
    </w:p>
    <w:p>
      <w:r>
        <w:t>Material non-compliance, regulatory correspondence, unresolved representative performance issues, or failure to appoint a required EU representative shall be escalated to [Executive Committee / Risk Committee / Board Committee] through established governance channels.</w:t>
      </w:r>
    </w:p>
    <w:p>
      <w:pPr>
        <w:pStyle w:val="Heading2"/>
      </w:pPr>
      <w:r>
        <w:t>Exceptions</w:t>
      </w:r>
    </w:p>
    <w:p>
      <w:r>
        <w:t>Exceptions to this Policy are permitted only where formally approved by the Data Protection Officer or Privacy Office and Legal Department.</w:t>
      </w:r>
    </w:p>
    <w:p>
      <w:r>
        <w:t>An exception request shall include:</w:t>
      </w:r>
    </w:p>
    <w:p>
      <w:pPr>
        <w:pStyle w:val="ListBullet"/>
      </w:pPr>
      <w:r>
        <w:t>the specific Policy requirement for which an exception is requested;</w:t>
      </w:r>
    </w:p>
    <w:p>
      <w:pPr>
        <w:pStyle w:val="ListBullet"/>
      </w:pPr>
      <w:r>
        <w:t>the business justification;</w:t>
      </w:r>
    </w:p>
    <w:p>
      <w:pPr>
        <w:pStyle w:val="ListBullet"/>
      </w:pPr>
      <w:r>
        <w:t>the processing activities affected;</w:t>
      </w:r>
    </w:p>
    <w:p>
      <w:pPr>
        <w:pStyle w:val="ListBullet"/>
      </w:pPr>
      <w:r>
        <w:t>the categories and approximate volume of individuals affected;</w:t>
      </w:r>
    </w:p>
    <w:p>
      <w:pPr>
        <w:pStyle w:val="ListBullet"/>
      </w:pPr>
      <w:r>
        <w:t>the categories of personal data involved;</w:t>
      </w:r>
    </w:p>
    <w:p>
      <w:pPr>
        <w:pStyle w:val="ListBullet"/>
      </w:pPr>
      <w:r>
        <w:t>the countries or markets affected;</w:t>
      </w:r>
    </w:p>
    <w:p>
      <w:pPr>
        <w:pStyle w:val="ListBullet"/>
      </w:pPr>
      <w:r>
        <w:t>the risk assessment;</w:t>
      </w:r>
    </w:p>
    <w:p>
      <w:pPr>
        <w:pStyle w:val="ListBullet"/>
      </w:pPr>
      <w:r>
        <w:t>compensating controls;</w:t>
      </w:r>
    </w:p>
    <w:p>
      <w:pPr>
        <w:pStyle w:val="ListBullet"/>
      </w:pPr>
      <w:r>
        <w:t>proposed duration of the exception;</w:t>
      </w:r>
    </w:p>
    <w:p>
      <w:pPr>
        <w:pStyle w:val="ListBullet"/>
      </w:pPr>
      <w:r>
        <w:t>accountable owner;</w:t>
      </w:r>
    </w:p>
    <w:p>
      <w:pPr>
        <w:pStyle w:val="ListBullet"/>
      </w:pPr>
      <w:r>
        <w:t>remediation plan and target completion date.</w:t>
      </w:r>
    </w:p>
    <w:p>
      <w:r>
        <w:t>Exceptions shall not be approved where they would knowingly result in unlawful processing, prevent individuals or supervisory authorities from contacting [Organisation Name], or create an unmanaged regulatory risk.</w:t>
      </w:r>
    </w:p>
    <w:p>
      <w:r>
        <w:t>All exceptions shall be documented in the Privacy Exceptions Register and reviewed at least quarterly until closed.</w:t>
      </w:r>
    </w:p>
    <w:tbl>
      <w:tblPr>
        <w:tblStyle w:val="TableGrid"/>
        <w:tblW w:type="auto" w:w="0"/>
        <w:tblLook w:firstColumn="1" w:firstRow="1" w:lastColumn="0" w:lastRow="0" w:noHBand="0" w:noVBand="1" w:val="04A0"/>
      </w:tblPr>
      <w:tblGrid>
        <w:gridCol w:w="4320"/>
        <w:gridCol w:w="4320"/>
      </w:tblGrid>
      <w:tr>
        <w:tc>
          <w:tcPr>
            <w:tcW w:type="dxa" w:w="4320"/>
          </w:tcPr>
          <w:p>
            <w:r>
              <w:t>Exception Attribute</w:t>
            </w:r>
          </w:p>
        </w:tc>
        <w:tc>
          <w:tcPr>
            <w:tcW w:type="dxa" w:w="4320"/>
          </w:tcPr>
          <w:p>
            <w:r>
              <w:t>Requirement</w:t>
            </w:r>
          </w:p>
        </w:tc>
      </w:tr>
      <w:tr>
        <w:tc>
          <w:tcPr>
            <w:tcW w:type="dxa" w:w="4320"/>
          </w:tcPr>
          <w:p>
            <w:r>
              <w:t>Approval authority</w:t>
            </w:r>
          </w:p>
        </w:tc>
        <w:tc>
          <w:tcPr>
            <w:tcW w:type="dxa" w:w="4320"/>
          </w:tcPr>
          <w:p>
            <w:r>
              <w:t>Data Protection Officer / Privacy Office and Legal Department</w:t>
            </w:r>
          </w:p>
        </w:tc>
      </w:tr>
      <w:tr>
        <w:tc>
          <w:tcPr>
            <w:tcW w:type="dxa" w:w="4320"/>
          </w:tcPr>
          <w:p>
            <w:r>
              <w:t>Maximum initial duration</w:t>
            </w:r>
          </w:p>
        </w:tc>
        <w:tc>
          <w:tcPr>
            <w:tcW w:type="dxa" w:w="4320"/>
          </w:tcPr>
          <w:p>
            <w:r>
              <w:t>[Maximum Duration, e.g., 90 days]</w:t>
            </w:r>
          </w:p>
        </w:tc>
      </w:tr>
      <w:tr>
        <w:tc>
          <w:tcPr>
            <w:tcW w:type="dxa" w:w="4320"/>
          </w:tcPr>
          <w:p>
            <w:r>
              <w:t>Review frequency</w:t>
            </w:r>
          </w:p>
        </w:tc>
        <w:tc>
          <w:tcPr>
            <w:tcW w:type="dxa" w:w="4320"/>
          </w:tcPr>
          <w:p>
            <w:r>
              <w:t>At least quarterly</w:t>
            </w:r>
          </w:p>
        </w:tc>
      </w:tr>
      <w:tr>
        <w:tc>
          <w:tcPr>
            <w:tcW w:type="dxa" w:w="4320"/>
          </w:tcPr>
          <w:p>
            <w:r>
              <w:t>Required record location</w:t>
            </w:r>
          </w:p>
        </w:tc>
        <w:tc>
          <w:tcPr>
            <w:tcW w:type="dxa" w:w="4320"/>
          </w:tcPr>
          <w:p>
            <w:r>
              <w:t>[Privacy Exceptions Register / GRC System]</w:t>
            </w:r>
          </w:p>
        </w:tc>
      </w:tr>
      <w:tr>
        <w:tc>
          <w:tcPr>
            <w:tcW w:type="dxa" w:w="4320"/>
          </w:tcPr>
          <w:p>
            <w:r>
              <w:t>Closure requirement</w:t>
            </w:r>
          </w:p>
        </w:tc>
        <w:tc>
          <w:tcPr>
            <w:tcW w:type="dxa" w:w="4320"/>
          </w:tcPr>
          <w:p>
            <w:r>
              <w:t>Evidence that the exception is no longer needed or that remediation has been completed</w:t>
            </w:r>
          </w:p>
        </w:tc>
      </w:tr>
    </w:tbl>
    <w:p>
      <w:pPr>
        <w:pStyle w:val="Heading2"/>
      </w:pPr>
      <w:r>
        <w:t>Review &amp; Maintenance</w:t>
      </w:r>
    </w:p>
    <w:p>
      <w:r>
        <w:t>This Policy shall be reviewed at least annually and whenever there is a material change to:</w:t>
      </w:r>
    </w:p>
    <w:p>
      <w:pPr>
        <w:pStyle w:val="ListBullet"/>
      </w:pPr>
      <w:r>
        <w:t>[Organisation Name]'s establishment, corporate structure, or operating locations;</w:t>
      </w:r>
    </w:p>
    <w:p>
      <w:pPr>
        <w:pStyle w:val="ListBullet"/>
      </w:pPr>
      <w:r>
        <w:t>EU market presence, customer base, or targeting strategy;</w:t>
      </w:r>
    </w:p>
    <w:p>
      <w:pPr>
        <w:pStyle w:val="ListBullet"/>
      </w:pPr>
      <w:r>
        <w:t>products, services, websites, applications, or monitoring technologies involving individuals in the European Union;</w:t>
      </w:r>
    </w:p>
    <w:p>
      <w:pPr>
        <w:pStyle w:val="ListBullet"/>
      </w:pPr>
      <w:r>
        <w:t>processing activities, purposes, data categories, or data subject groups;</w:t>
      </w:r>
    </w:p>
    <w:p>
      <w:pPr>
        <w:pStyle w:val="ListBullet"/>
      </w:pPr>
      <w:r>
        <w:t>legal or regulatory requirements;</w:t>
      </w:r>
    </w:p>
    <w:p>
      <w:pPr>
        <w:pStyle w:val="ListBullet"/>
      </w:pPr>
      <w:r>
        <w:t>supervisory authority expectations or enforcement trends;</w:t>
      </w:r>
    </w:p>
    <w:p>
      <w:pPr>
        <w:pStyle w:val="ListBullet"/>
      </w:pPr>
      <w:r>
        <w:t>the EU representative's location, capability, ownership, performance, or contractual status;</w:t>
      </w:r>
    </w:p>
    <w:p>
      <w:pPr>
        <w:pStyle w:val="ListBullet"/>
      </w:pPr>
      <w:r>
        <w:t>incident, complaint, or audit findings relating to EU representative obligations.</w:t>
      </w:r>
    </w:p>
    <w:p>
      <w:r>
        <w:t>The Data Protection Officer / Privacy Office is responsible for maintaining this Policy, coordinating stakeholder review, obtaining approvals, and ensuring updated versions are communicated to relevant personnel.</w:t>
      </w:r>
    </w:p>
    <w:p>
      <w:r>
        <w:t>Policy changes shall be recorded in the document control history maintained by [Policy Management System / GRC System]. The current approved version shall be made available through [Intranet / Policy Portal / Document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