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Consent Mgmt Policy &amp; Records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[GDPR-POL-CONSENT-001]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w:t>
            </w:r>
          </w:p>
        </w:tc>
      </w:tr>
    </w:tbl>
    <w:p>
      <w:pPr>
        <w:pStyle w:val="Heading2"/>
      </w:pPr>
      <w:r>
        <w:t>Purpose</w:t>
      </w:r>
    </w:p>
    <w:p>
      <w:r>
        <w:t>This policy defines mandatory requirements for obtaining, recording, managing, evidencing, and withdrawing consent where the organisation relies on consent as the lawful basis for processing personal data.</w:t>
      </w:r>
    </w:p>
    <w:p>
      <w:r>
        <w:t>The purpose of this policy is to ensure that consent is freely given, specific, informed, unambiguous, demonstrable, and easy to withdraw, and that the organisation maintains reliable records showing how and when consent was obtained.</w:t>
      </w:r>
    </w:p>
    <w:p>
      <w:pPr>
        <w:pStyle w:val="Heading2"/>
      </w:pPr>
      <w:r>
        <w:t>Scope</w:t>
      </w:r>
    </w:p>
    <w:p>
      <w:r>
        <w:t>This policy applies to:</w:t>
      </w:r>
    </w:p>
    <w:p>
      <w:pPr>
        <w:pStyle w:val="ListBullet"/>
      </w:pPr>
      <w:r>
        <w:t>All personal data processing activities where consent is used as the lawful basis.</w:t>
      </w:r>
    </w:p>
    <w:p>
      <w:pPr>
        <w:pStyle w:val="ListBullet"/>
      </w:pPr>
      <w:r>
        <w:t>All employees, contractors, temporary staff, consultants, service providers, and third parties acting on behalf of the organisation.</w:t>
      </w:r>
    </w:p>
    <w:p>
      <w:pPr>
        <w:pStyle w:val="ListBullet"/>
      </w:pPr>
      <w:r>
        <w:t>All business functions that collect, use, store, share, or otherwise process personal data based on consent.</w:t>
      </w:r>
    </w:p>
    <w:p>
      <w:pPr>
        <w:pStyle w:val="ListBullet"/>
      </w:pPr>
      <w:r>
        <w:t>All channels through which consent may be obtained, including websites, mobile applications, paper forms, call centres, events, in-person interactions, email, SMS, customer portals, and third-party platforms.</w:t>
      </w:r>
    </w:p>
    <w:p>
      <w:pPr>
        <w:pStyle w:val="ListBullet"/>
      </w:pPr>
      <w:r>
        <w:t>All categories of data subjects, including customers, prospects, employees, job applicants, suppliers, website users, event attendees, and other individuals.</w:t>
      </w:r>
    </w:p>
    <w:p>
      <w:pPr>
        <w:pStyle w:val="ListBullet"/>
      </w:pPr>
      <w:r>
        <w:t>All consent records maintained in systems, databases, customer relationship management platforms, marketing platforms, consent management platforms, document repositories, and manual records.</w:t>
      </w:r>
    </w:p>
    <w:p>
      <w:r>
        <w:t>This policy applies only where consent is the lawful basis for processing. Where another lawful basis is relied upon, the relevant privacy, data protection, retention, and transparency requirements still apply, but the specific consent requirements in this policy do not replace those obligations.</w:t>
      </w:r>
    </w:p>
    <w:p>
      <w:pPr>
        <w:pStyle w:val="Heading2"/>
      </w:pPr>
      <w:r>
        <w:t>Policy Statements</w:t>
      </w:r>
    </w:p>
    <w:p>
      <w:pPr>
        <w:pStyle w:val="ListBullet"/>
      </w:pPr>
      <w:r>
        <w:t>The organisation shall use consent as a lawful basis only where the individual has a genuine choice and control over whether their personal data is processed.</w:t>
      </w:r>
    </w:p>
    <w:p>
      <w:pPr>
        <w:pStyle w:val="ListBullet"/>
      </w:pPr>
      <w:r>
        <w:t>The organisation shall not use consent where there is a clear imbalance of power, coercion, detriment for refusal, or where the processing is necessary for a contract, legal obligation, vital interest, public task, or legitimate business purpose that is more appropriate than consent.</w:t>
      </w:r>
    </w:p>
    <w:p>
      <w:pPr>
        <w:pStyle w:val="ListBullet"/>
      </w:pPr>
      <w:r>
        <w:t>Business owners shall assess and document whether consent is the appropriate lawful basis before any processing activity relying on consent begins.</w:t>
      </w:r>
    </w:p>
    <w:p>
      <w:pPr>
        <w:pStyle w:val="ListBullet"/>
      </w:pPr>
      <w:r>
        <w:t>Consent shall be obtained before the relevant processing activity begins.</w:t>
      </w:r>
    </w:p>
    <w:p>
      <w:pPr>
        <w:pStyle w:val="ListBullet"/>
      </w:pPr>
      <w:r>
        <w:t>Consent shall be requested using clear, plain, and accessible language that an average member of the intended audience can understand.</w:t>
      </w:r>
    </w:p>
    <w:p>
      <w:pPr>
        <w:pStyle w:val="ListBullet"/>
      </w:pPr>
      <w:r>
        <w:t>Consent requests shall be separate from general terms and conditions, privacy notices, contractual terms, or other unrelated acknowledgements.</w:t>
      </w:r>
    </w:p>
    <w:p>
      <w:pPr>
        <w:pStyle w:val="ListBullet"/>
      </w:pPr>
      <w:r>
        <w:t>Consent shall not be bundled with acceptance of terms, account registration, service delivery, or other activities unless the consent is genuinely necessary for that specific processing purpose.</w:t>
      </w:r>
    </w:p>
    <w:p>
      <w:pPr>
        <w:pStyle w:val="ListBullet"/>
      </w:pPr>
      <w:r>
        <w:t>Consent shall be specific to each distinct processing purpose.</w:t>
      </w:r>
    </w:p>
    <w:p>
      <w:pPr>
        <w:pStyle w:val="ListBullet"/>
      </w:pPr>
      <w:r>
        <w:t>Separate consent shall be obtained for separate processing purposes where those purposes are not closely related.</w:t>
      </w:r>
    </w:p>
    <w:p>
      <w:pPr>
        <w:pStyle w:val="ListBullet"/>
      </w:pPr>
      <w:r>
        <w:t>Consent shall be given by a clear affirmative action, such as selecting an unticked checkbox, signing a consent form, choosing settings, clicking an acceptance button, or giving a clear verbal confirmation that is recorded in accordance with this policy.</w:t>
      </w:r>
    </w:p>
    <w:p>
      <w:pPr>
        <w:pStyle w:val="ListBullet"/>
      </w:pPr>
      <w:r>
        <w:t>Pre-ticked boxes, inactivity, silence, default settings, implied acceptance, or continued use of a service shall not be treated as valid consent.</w:t>
      </w:r>
    </w:p>
    <w:p>
      <w:pPr>
        <w:pStyle w:val="ListBullet"/>
      </w:pPr>
      <w:r>
        <w:t>Consent shall not be made a condition of receiving a product or service unless the processing based on consent is genuinely necessary to provide that product or service.</w:t>
      </w:r>
    </w:p>
    <w:p>
      <w:pPr>
        <w:pStyle w:val="ListBullet"/>
      </w:pPr>
      <w:r>
        <w:t>The organisation shall provide individuals with sufficient information at the point of consent to make an informed decision.</w:t>
      </w:r>
    </w:p>
    <w:p>
      <w:pPr>
        <w:pStyle w:val="ListBullet"/>
      </w:pPr>
      <w:r>
        <w:t>At a minimum, the consent request shall tell the individual:</w:t>
      </w:r>
    </w:p>
    <w:p>
      <w:pPr>
        <w:pStyle w:val="ListBullet"/>
      </w:pPr>
      <w:r>
        <w:t>The identity of the organisation requesting consent.</w:t>
      </w:r>
    </w:p>
    <w:p>
      <w:pPr>
        <w:pStyle w:val="ListBullet"/>
      </w:pPr>
      <w:r>
        <w:t>The specific purpose of the processing.</w:t>
      </w:r>
    </w:p>
    <w:p>
      <w:pPr>
        <w:pStyle w:val="ListBullet"/>
      </w:pPr>
      <w:r>
        <w:t>The type of personal data to be processed.</w:t>
      </w:r>
    </w:p>
    <w:p>
      <w:pPr>
        <w:pStyle w:val="ListBullet"/>
      </w:pPr>
      <w:r>
        <w:t>Any special category or sensitive data involved.</w:t>
      </w:r>
    </w:p>
    <w:p>
      <w:pPr>
        <w:pStyle w:val="ListBullet"/>
      </w:pPr>
      <w:r>
        <w:t>Whether data will be shared with third parties and the categories or names of those parties where appropriate.</w:t>
      </w:r>
    </w:p>
    <w:p>
      <w:pPr>
        <w:pStyle w:val="ListBullet"/>
      </w:pPr>
      <w:r>
        <w:t>Whether international transfers are involved where relevant.</w:t>
      </w:r>
    </w:p>
    <w:p>
      <w:pPr>
        <w:pStyle w:val="ListBullet"/>
      </w:pPr>
      <w:r>
        <w:t>That consent can be withdrawn at any time.</w:t>
      </w:r>
    </w:p>
    <w:p>
      <w:pPr>
        <w:pStyle w:val="ListBullet"/>
      </w:pPr>
      <w:r>
        <w:t>How consent can be withdrawn.</w:t>
      </w:r>
    </w:p>
    <w:p>
      <w:pPr>
        <w:pStyle w:val="ListBullet"/>
      </w:pPr>
      <w:r>
        <w:t>A link or reference to the applicable privacy notice.</w:t>
      </w:r>
    </w:p>
    <w:p>
      <w:pPr>
        <w:pStyle w:val="ListBullet"/>
      </w:pPr>
      <w:r>
        <w:t>Consent language shall be reviewed by the Data Protection Officer or an authorised privacy representative before use.</w:t>
      </w:r>
    </w:p>
    <w:p>
      <w:pPr>
        <w:pStyle w:val="ListBullet"/>
      </w:pPr>
      <w:r>
        <w:t>Where consent is obtained digitally, the relevant system shall record a timestamp, user identifier or contact identifier, consent wording presented, consent status, source channel, and method of capture.</w:t>
      </w:r>
    </w:p>
    <w:p>
      <w:pPr>
        <w:pStyle w:val="ListBullet"/>
      </w:pPr>
      <w:r>
        <w:t>Where consent is obtained on paper, the completed form shall be retained in a controlled repository and indexed against the relevant individual or record.</w:t>
      </w:r>
    </w:p>
    <w:p>
      <w:pPr>
        <w:pStyle w:val="ListBullet"/>
      </w:pPr>
      <w:r>
        <w:t>Where consent is obtained verbally, the organisation shall either record the call where legally and operationally permitted or capture a contemporaneous record of the consent statement, date, time, script version, staff member, and individual identifier.</w:t>
      </w:r>
    </w:p>
    <w:p>
      <w:pPr>
        <w:pStyle w:val="ListBullet"/>
      </w:pPr>
      <w:r>
        <w:t>The organisation shall maintain records sufficient to demonstrate that valid consent was obtained.</w:t>
      </w:r>
    </w:p>
    <w:p>
      <w:pPr>
        <w:pStyle w:val="ListBullet"/>
      </w:pPr>
      <w:r>
        <w:t>Consent records shall include, at a minimum,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Consent Record Field</w:t>
            </w:r>
          </w:p>
        </w:tc>
        <w:tc>
          <w:tcPr>
            <w:tcW w:type="dxa" w:w="4320"/>
          </w:tcPr>
          <w:p>
            <w:r>
              <w:t>Requirement</w:t>
            </w:r>
          </w:p>
        </w:tc>
      </w:tr>
      <w:tr>
        <w:tc>
          <w:tcPr>
            <w:tcW w:type="dxa" w:w="4320"/>
          </w:tcPr>
          <w:p>
            <w:r>
              <w:t>Individual identifier</w:t>
            </w:r>
          </w:p>
        </w:tc>
        <w:tc>
          <w:tcPr>
            <w:tcW w:type="dxa" w:w="4320"/>
          </w:tcPr>
          <w:p>
            <w:r>
              <w:t>Unique reference linking the consent to the relevant individual</w:t>
            </w:r>
          </w:p>
        </w:tc>
      </w:tr>
      <w:tr>
        <w:tc>
          <w:tcPr>
            <w:tcW w:type="dxa" w:w="4320"/>
          </w:tcPr>
          <w:p>
            <w:r>
              <w:t>Consent status</w:t>
            </w:r>
          </w:p>
        </w:tc>
        <w:tc>
          <w:tcPr>
            <w:tcW w:type="dxa" w:w="4320"/>
          </w:tcPr>
          <w:p>
            <w:r>
              <w:t>Granted, refused, withdrawn, expired, refreshed, or superseded</w:t>
            </w:r>
          </w:p>
        </w:tc>
      </w:tr>
      <w:tr>
        <w:tc>
          <w:tcPr>
            <w:tcW w:type="dxa" w:w="4320"/>
          </w:tcPr>
          <w:p>
            <w:r>
              <w:t>Purpose</w:t>
            </w:r>
          </w:p>
        </w:tc>
        <w:tc>
          <w:tcPr>
            <w:tcW w:type="dxa" w:w="4320"/>
          </w:tcPr>
          <w:p>
            <w:r>
              <w:t>Specific processing purpose for which consent was requested</w:t>
            </w:r>
          </w:p>
        </w:tc>
      </w:tr>
      <w:tr>
        <w:tc>
          <w:tcPr>
            <w:tcW w:type="dxa" w:w="4320"/>
          </w:tcPr>
          <w:p>
            <w:r>
              <w:t>Data categories</w:t>
            </w:r>
          </w:p>
        </w:tc>
        <w:tc>
          <w:tcPr>
            <w:tcW w:type="dxa" w:w="4320"/>
          </w:tcPr>
          <w:p>
            <w:r>
              <w:t>Categories of personal data covered by the consent</w:t>
            </w:r>
          </w:p>
        </w:tc>
      </w:tr>
      <w:tr>
        <w:tc>
          <w:tcPr>
            <w:tcW w:type="dxa" w:w="4320"/>
          </w:tcPr>
          <w:p>
            <w:r>
              <w:t>Consent wording</w:t>
            </w:r>
          </w:p>
        </w:tc>
        <w:tc>
          <w:tcPr>
            <w:tcW w:type="dxa" w:w="4320"/>
          </w:tcPr>
          <w:p>
            <w:r>
              <w:t>Exact wording or version presented to the individual</w:t>
            </w:r>
          </w:p>
        </w:tc>
      </w:tr>
      <w:tr>
        <w:tc>
          <w:tcPr>
            <w:tcW w:type="dxa" w:w="4320"/>
          </w:tcPr>
          <w:p>
            <w:r>
              <w:t>Privacy notice version</w:t>
            </w:r>
          </w:p>
        </w:tc>
        <w:tc>
          <w:tcPr>
            <w:tcW w:type="dxa" w:w="4320"/>
          </w:tcPr>
          <w:p>
            <w:r>
              <w:t>Version or link to the privacy information provided at the time</w:t>
            </w:r>
          </w:p>
        </w:tc>
      </w:tr>
      <w:tr>
        <w:tc>
          <w:tcPr>
            <w:tcW w:type="dxa" w:w="4320"/>
          </w:tcPr>
          <w:p>
            <w:r>
              <w:t>Date and time</w:t>
            </w:r>
          </w:p>
        </w:tc>
        <w:tc>
          <w:tcPr>
            <w:tcW w:type="dxa" w:w="4320"/>
          </w:tcPr>
          <w:p>
            <w:r>
              <w:t>When consent was obtained, updated, withdrawn, or refreshed</w:t>
            </w:r>
          </w:p>
        </w:tc>
      </w:tr>
      <w:tr>
        <w:tc>
          <w:tcPr>
            <w:tcW w:type="dxa" w:w="4320"/>
          </w:tcPr>
          <w:p>
            <w:r>
              <w:t>Capture channel</w:t>
            </w:r>
          </w:p>
        </w:tc>
        <w:tc>
          <w:tcPr>
            <w:tcW w:type="dxa" w:w="4320"/>
          </w:tcPr>
          <w:p>
            <w:r>
              <w:t>Web, app, phone, paper, email, in-person, partner platform, or other channel</w:t>
            </w:r>
          </w:p>
        </w:tc>
      </w:tr>
      <w:tr>
        <w:tc>
          <w:tcPr>
            <w:tcW w:type="dxa" w:w="4320"/>
          </w:tcPr>
          <w:p>
            <w:r>
              <w:t>Capture method</w:t>
            </w:r>
          </w:p>
        </w:tc>
        <w:tc>
          <w:tcPr>
            <w:tcW w:type="dxa" w:w="4320"/>
          </w:tcPr>
          <w:p>
            <w:r>
              <w:t>Checkbox, signature, recorded call, preference setting, click-through, or other affirmative action</w:t>
            </w:r>
          </w:p>
        </w:tc>
      </w:tr>
      <w:tr>
        <w:tc>
          <w:tcPr>
            <w:tcW w:type="dxa" w:w="4320"/>
          </w:tcPr>
          <w:p>
            <w:r>
              <w:t>Source system</w:t>
            </w:r>
          </w:p>
        </w:tc>
        <w:tc>
          <w:tcPr>
            <w:tcW w:type="dxa" w:w="4320"/>
          </w:tcPr>
          <w:p>
            <w:r>
              <w:t>System or repository where the consent was captured</w:t>
            </w:r>
          </w:p>
        </w:tc>
      </w:tr>
      <w:tr>
        <w:tc>
          <w:tcPr>
            <w:tcW w:type="dxa" w:w="4320"/>
          </w:tcPr>
          <w:p>
            <w:r>
              <w:t>Staff or process owner</w:t>
            </w:r>
          </w:p>
        </w:tc>
        <w:tc>
          <w:tcPr>
            <w:tcW w:type="dxa" w:w="4320"/>
          </w:tcPr>
          <w:p>
            <w:r>
              <w:t>Person, team, workflow, or automated process responsible for capture</w:t>
            </w:r>
          </w:p>
        </w:tc>
      </w:tr>
      <w:tr>
        <w:tc>
          <w:tcPr>
            <w:tcW w:type="dxa" w:w="4320"/>
          </w:tcPr>
          <w:p>
            <w:r>
              <w:t>Third-party disclosure</w:t>
            </w:r>
          </w:p>
        </w:tc>
        <w:tc>
          <w:tcPr>
            <w:tcW w:type="dxa" w:w="4320"/>
          </w:tcPr>
          <w:p>
            <w:r>
              <w:t>Any third parties or categories of third parties covered by the consent</w:t>
            </w:r>
          </w:p>
        </w:tc>
      </w:tr>
      <w:tr>
        <w:tc>
          <w:tcPr>
            <w:tcW w:type="dxa" w:w="4320"/>
          </w:tcPr>
          <w:p>
            <w:r>
              <w:t>Withdrawal method</w:t>
            </w:r>
          </w:p>
        </w:tc>
        <w:tc>
          <w:tcPr>
            <w:tcW w:type="dxa" w:w="4320"/>
          </w:tcPr>
          <w:p>
            <w:r>
              <w:t>How the individual can withdraw or did withdraw consent</w:t>
            </w:r>
          </w:p>
        </w:tc>
      </w:tr>
      <w:tr>
        <w:tc>
          <w:tcPr>
            <w:tcW w:type="dxa" w:w="4320"/>
          </w:tcPr>
          <w:p>
            <w:r>
              <w:t>Evidence location</w:t>
            </w:r>
          </w:p>
        </w:tc>
        <w:tc>
          <w:tcPr>
            <w:tcW w:type="dxa" w:w="4320"/>
          </w:tcPr>
          <w:p>
            <w:r>
              <w:t>Link, record ID, file location, or audit trail reference</w:t>
            </w:r>
          </w:p>
        </w:tc>
      </w:tr>
    </w:tbl>
    <w:p>
      <w:pPr>
        <w:pStyle w:val="ListBullet"/>
      </w:pPr>
      <w:r>
        <w:t>Consent records shall be accurate, complete, and retrievable within a reasonable timeframe to support data subject requests, audits, investigations, complaints, and regulatory enquiries.</w:t>
      </w:r>
    </w:p>
    <w:p>
      <w:pPr>
        <w:pStyle w:val="ListBullet"/>
      </w:pPr>
      <w:r>
        <w:t>Consent records shall be protected against unauthorised access, alteration, deletion, or disclosure.</w:t>
      </w:r>
    </w:p>
    <w:p>
      <w:pPr>
        <w:pStyle w:val="ListBullet"/>
      </w:pPr>
      <w:r>
        <w:t>Consent records shall be retained for as long as necessary to demonstrate compliance and defend against claims, taking account of applicable retention schedules and limitation periods.</w:t>
      </w:r>
    </w:p>
    <w:p>
      <w:pPr>
        <w:pStyle w:val="ListBullet"/>
      </w:pPr>
      <w:r>
        <w:t>Consent shall be easy for individuals to withdraw.</w:t>
      </w:r>
    </w:p>
    <w:p>
      <w:pPr>
        <w:pStyle w:val="ListBullet"/>
      </w:pPr>
      <w:r>
        <w:t>The method for withdrawing consent shall be as easy and accessible as the method used to provide consent, wherever reasonably possible.</w:t>
      </w:r>
    </w:p>
    <w:p>
      <w:pPr>
        <w:pStyle w:val="ListBullet"/>
      </w:pPr>
      <w:r>
        <w:t>The organisation shall not charge a fee, impose unnecessary steps, require excessive information, or create unreasonable friction for withdrawing consent.</w:t>
      </w:r>
    </w:p>
    <w:p>
      <w:pPr>
        <w:pStyle w:val="ListBullet"/>
      </w:pPr>
      <w:r>
        <w:t>Withdrawal of consent shall be actioned promptly and without undue delay.</w:t>
      </w:r>
    </w:p>
    <w:p>
      <w:pPr>
        <w:pStyle w:val="ListBullet"/>
      </w:pPr>
      <w:r>
        <w:t>Where consent is withdrawn, processing based on that consent shall stop unless another lawful basis has been assessed, documented, and approved by the Data Protection Officer or authorised privacy representative.</w:t>
      </w:r>
    </w:p>
    <w:p>
      <w:pPr>
        <w:pStyle w:val="ListBullet"/>
      </w:pPr>
      <w:r>
        <w:t>Withdrawal of consent shall not affect processing that lawfully occurred before the withdrawal.</w:t>
      </w:r>
    </w:p>
    <w:p>
      <w:pPr>
        <w:pStyle w:val="ListBullet"/>
      </w:pPr>
      <w:r>
        <w:t>Systems and processes shall be designed to propagate consent withdrawals to relevant downstream systems, vendors, processors, marketing lists, analytics tools, and operational teams.</w:t>
      </w:r>
    </w:p>
    <w:p>
      <w:pPr>
        <w:pStyle w:val="ListBullet"/>
      </w:pPr>
      <w:r>
        <w:t>Where consent preferences are managed across multiple channels, the organisation shall maintain a single reliable view of current consent status or implement controlled synchronisation between systems.</w:t>
      </w:r>
    </w:p>
    <w:p>
      <w:pPr>
        <w:pStyle w:val="ListBullet"/>
      </w:pPr>
      <w:r>
        <w:t>Consent shall be refreshed where required because the purpose, processing method, data category, third-party sharing arrangement, technology, privacy notice, or context has materially changed.</w:t>
      </w:r>
    </w:p>
    <w:p>
      <w:pPr>
        <w:pStyle w:val="ListBullet"/>
      </w:pPr>
      <w:r>
        <w:t>Consent shall not be relied upon indefinitely where there has been no meaningful interaction with the individual or where the original consent may no longer be valid in context.</w:t>
      </w:r>
    </w:p>
    <w:p>
      <w:pPr>
        <w:pStyle w:val="ListBullet"/>
      </w:pPr>
      <w:r>
        <w:t>Business owners shall define appropriate consent refresh periods based on the nature of the processing, individual expectations, risk level, and applicable retention requirements.</w:t>
      </w:r>
    </w:p>
    <w:p>
      <w:pPr>
        <w:pStyle w:val="ListBullet"/>
      </w:pPr>
      <w:r>
        <w:t>The following consent review and refresh expectations shall apply unless a documented alternative has been approved:</w:t>
      </w:r>
    </w:p>
    <w:tbl>
      <w:tblPr>
        <w:tblStyle w:val="TableGrid"/>
        <w:tblW w:type="auto" w:w="0"/>
        <w:tblLook w:firstColumn="1" w:firstRow="1" w:lastColumn="0" w:lastRow="0" w:noHBand="0" w:noVBand="1" w:val="04A0"/>
      </w:tblPr>
      <w:tblGrid>
        <w:gridCol w:w="2880"/>
        <w:gridCol w:w="2880"/>
        <w:gridCol w:w="2880"/>
      </w:tblGrid>
      <w:tr>
        <w:tc>
          <w:tcPr>
            <w:tcW w:type="dxa" w:w="2880"/>
          </w:tcPr>
          <w:p>
            <w:r>
              <w:t>Consent Context</w:t>
            </w:r>
          </w:p>
        </w:tc>
        <w:tc>
          <w:tcPr>
            <w:tcW w:type="dxa" w:w="2880"/>
          </w:tcPr>
          <w:p>
            <w:r>
              <w:t>Minimum Review Expectation</w:t>
            </w:r>
          </w:p>
        </w:tc>
        <w:tc>
          <w:tcPr>
            <w:tcW w:type="dxa" w:w="2880"/>
          </w:tcPr>
          <w:p>
            <w:r>
              <w:t>Refresh Trigger</w:t>
            </w:r>
          </w:p>
        </w:tc>
      </w:tr>
      <w:tr>
        <w:tc>
          <w:tcPr>
            <w:tcW w:type="dxa" w:w="2880"/>
          </w:tcPr>
          <w:p>
            <w:r>
              <w:t>Electronic marketing to customers or prospects</w:t>
            </w:r>
          </w:p>
        </w:tc>
        <w:tc>
          <w:tcPr>
            <w:tcW w:type="dxa" w:w="2880"/>
          </w:tcPr>
          <w:p>
            <w:r>
              <w:t>At least every 24 months</w:t>
            </w:r>
          </w:p>
        </w:tc>
        <w:tc>
          <w:tcPr>
            <w:tcW w:type="dxa" w:w="2880"/>
          </w:tcPr>
          <w:p>
            <w:r>
              <w:t>Material change in marketing purpose, channel, or third-party sharing</w:t>
            </w:r>
          </w:p>
        </w:tc>
      </w:tr>
      <w:tr>
        <w:tc>
          <w:tcPr>
            <w:tcW w:type="dxa" w:w="2880"/>
          </w:tcPr>
          <w:p>
            <w:r>
              <w:t>Special category or sensitive data processing based on consent</w:t>
            </w:r>
          </w:p>
        </w:tc>
        <w:tc>
          <w:tcPr>
            <w:tcW w:type="dxa" w:w="2880"/>
          </w:tcPr>
          <w:p>
            <w:r>
              <w:t>At least every 12 months</w:t>
            </w:r>
          </w:p>
        </w:tc>
        <w:tc>
          <w:tcPr>
            <w:tcW w:type="dxa" w:w="2880"/>
          </w:tcPr>
          <w:p>
            <w:r>
              <w:t>Change in processing purpose, risk level, or data category</w:t>
            </w:r>
          </w:p>
        </w:tc>
      </w:tr>
      <w:tr>
        <w:tc>
          <w:tcPr>
            <w:tcW w:type="dxa" w:w="2880"/>
          </w:tcPr>
          <w:p>
            <w:r>
              <w:t>Research, surveys, and optional feedback programmes</w:t>
            </w:r>
          </w:p>
        </w:tc>
        <w:tc>
          <w:tcPr>
            <w:tcW w:type="dxa" w:w="2880"/>
          </w:tcPr>
          <w:p>
            <w:r>
              <w:t>At project start and at material change</w:t>
            </w:r>
          </w:p>
        </w:tc>
        <w:tc>
          <w:tcPr>
            <w:tcW w:type="dxa" w:w="2880"/>
          </w:tcPr>
          <w:p>
            <w:r>
              <w:t>New research purpose or reuse beyond the original explanation</w:t>
            </w:r>
          </w:p>
        </w:tc>
      </w:tr>
      <w:tr>
        <w:tc>
          <w:tcPr>
            <w:tcW w:type="dxa" w:w="2880"/>
          </w:tcPr>
          <w:p>
            <w:r>
              <w:t>Cookies, tracking technologies, and online identifiers</w:t>
            </w:r>
          </w:p>
        </w:tc>
        <w:tc>
          <w:tcPr>
            <w:tcW w:type="dxa" w:w="2880"/>
          </w:tcPr>
          <w:p>
            <w:r>
              <w:t>At least every 12 months</w:t>
            </w:r>
          </w:p>
        </w:tc>
        <w:tc>
          <w:tcPr>
            <w:tcW w:type="dxa" w:w="2880"/>
          </w:tcPr>
          <w:p>
            <w:r>
              <w:t>Change in tracking purpose, vendor, technology, or preference mechanism</w:t>
            </w:r>
          </w:p>
        </w:tc>
      </w:tr>
      <w:tr>
        <w:tc>
          <w:tcPr>
            <w:tcW w:type="dxa" w:w="2880"/>
          </w:tcPr>
          <w:p>
            <w:r>
              <w:t>Event, webinar, and promotional consent</w:t>
            </w:r>
          </w:p>
        </w:tc>
        <w:tc>
          <w:tcPr>
            <w:tcW w:type="dxa" w:w="2880"/>
          </w:tcPr>
          <w:p>
            <w:r>
              <w:t>At each campaign or event series</w:t>
            </w:r>
          </w:p>
        </w:tc>
        <w:tc>
          <w:tcPr>
            <w:tcW w:type="dxa" w:w="2880"/>
          </w:tcPr>
          <w:p>
            <w:r>
              <w:t>New event series, sponsor sharing, or marketing purpose</w:t>
            </w:r>
          </w:p>
        </w:tc>
      </w:tr>
      <w:tr>
        <w:tc>
          <w:tcPr>
            <w:tcW w:type="dxa" w:w="2880"/>
          </w:tcPr>
          <w:p>
            <w:r>
              <w:t>Employee optional processing based on consent</w:t>
            </w:r>
          </w:p>
        </w:tc>
        <w:tc>
          <w:tcPr>
            <w:tcW w:type="dxa" w:w="2880"/>
          </w:tcPr>
          <w:p>
            <w:r>
              <w:t>At least every 12 months</w:t>
            </w:r>
          </w:p>
        </w:tc>
        <w:tc>
          <w:tcPr>
            <w:tcW w:type="dxa" w:w="2880"/>
          </w:tcPr>
          <w:p>
            <w:r>
              <w:t>Change in employment context, purpose, or voluntary nature</w:t>
            </w:r>
          </w:p>
        </w:tc>
      </w:tr>
    </w:tbl>
    <w:p>
      <w:pPr>
        <w:pStyle w:val="ListBullet"/>
      </w:pPr>
      <w:r>
        <w:t>Consent shall be renewed or re-obtained before processing expands beyond the scope of the original consent.</w:t>
      </w:r>
    </w:p>
    <w:p>
      <w:pPr>
        <w:pStyle w:val="ListBullet"/>
      </w:pPr>
      <w:r>
        <w:t>If valid consent cannot be demonstrated, the organisation shall stop the related processing until a lawful basis has been confirmed and documented.</w:t>
      </w:r>
    </w:p>
    <w:p>
      <w:pPr>
        <w:pStyle w:val="ListBullet"/>
      </w:pPr>
      <w:r>
        <w:t>Consent shall not be transferred to a new purpose, new controller, or new third party unless the original consent clearly covered that activity or new consent is obtained.</w:t>
      </w:r>
    </w:p>
    <w:p>
      <w:pPr>
        <w:pStyle w:val="ListBullet"/>
      </w:pPr>
      <w:r>
        <w:t>Where third parties collect consent on behalf of the organisation, contractual arrangements shall require them to comply with this policy and maintain evidence of consent.</w:t>
      </w:r>
    </w:p>
    <w:p>
      <w:pPr>
        <w:pStyle w:val="ListBullet"/>
      </w:pPr>
      <w:r>
        <w:t>The organisation shall not purchase, rent, or use third-party contact lists unless appropriate due diligence confirms that valid consent or another lawful basis exists for the intended processing.</w:t>
      </w:r>
    </w:p>
    <w:p>
      <w:pPr>
        <w:pStyle w:val="ListBullet"/>
      </w:pPr>
      <w:r>
        <w:t>Third-party consent evidence shall be reviewed before use of the relevant personal data for marketing, profiling, analytics, or other consent-based activities.</w:t>
      </w:r>
    </w:p>
    <w:p>
      <w:pPr>
        <w:pStyle w:val="ListBullet"/>
      </w:pPr>
      <w:r>
        <w:t>Consent collected by a third party shall be capable of being evidenced to the same standard as consent collected directly by the organisation.</w:t>
      </w:r>
    </w:p>
    <w:p>
      <w:pPr>
        <w:pStyle w:val="ListBullet"/>
      </w:pPr>
      <w:r>
        <w:t>Where the organisation acts as a processor and is instructed to support consent management on behalf of a controller, the organisation shall follow documented instructions and maintain agreed processing records.</w:t>
      </w:r>
    </w:p>
    <w:p>
      <w:pPr>
        <w:pStyle w:val="ListBullet"/>
      </w:pPr>
      <w:r>
        <w:t>Where children’s personal data is processed based on consent, the organisation shall apply enhanced safeguards appropriate to the age of the child and the nature of the service.</w:t>
      </w:r>
    </w:p>
    <w:p>
      <w:pPr>
        <w:pStyle w:val="ListBullet"/>
      </w:pPr>
      <w:r>
        <w:t>Where parental or guardian consent is required, the organisation shall take reasonable steps to verify that the person giving consent has authority to do so.</w:t>
      </w:r>
    </w:p>
    <w:p>
      <w:pPr>
        <w:pStyle w:val="ListBullet"/>
      </w:pPr>
      <w:r>
        <w:t>Consent requests aimed at children shall be written in age-appropriate language.</w:t>
      </w:r>
    </w:p>
    <w:p>
      <w:pPr>
        <w:pStyle w:val="ListBullet"/>
      </w:pPr>
      <w:r>
        <w:t>Special category personal data shall only be processed based on consent where the consent is explicit, clearly documented, and approved by the Data Protection Officer or authorised privacy representative.</w:t>
      </w:r>
    </w:p>
    <w:p>
      <w:pPr>
        <w:pStyle w:val="ListBullet"/>
      </w:pPr>
      <w:r>
        <w:t>Explicit consent shall require a clear statement confirming the individual’s agreement to the specific processing of the relevant sensitive data.</w:t>
      </w:r>
    </w:p>
    <w:p>
      <w:pPr>
        <w:pStyle w:val="ListBullet"/>
      </w:pPr>
      <w:r>
        <w:t>Consent mechanisms shall be tested before release to confirm that they capture the required evidence and do not use misleading, manipulative, or unfair design practices.</w:t>
      </w:r>
    </w:p>
    <w:p>
      <w:pPr>
        <w:pStyle w:val="ListBullet"/>
      </w:pPr>
      <w:r>
        <w:t>Consent interfaces shall not use confusing layouts, hidden refusal options, unequal button prominence, forced continuation, unnecessary repetition, or other designs that undermine free choice.</w:t>
      </w:r>
    </w:p>
    <w:p>
      <w:pPr>
        <w:pStyle w:val="ListBullet"/>
      </w:pPr>
      <w:r>
        <w:t>The organisation shall provide individuals with access to their consent preferences where appropriate and feasible.</w:t>
      </w:r>
    </w:p>
    <w:p>
      <w:pPr>
        <w:pStyle w:val="ListBullet"/>
      </w:pPr>
      <w:r>
        <w:t>Marketing communications shall only be sent where valid consent or another approved lawful basis exists for the channel, recipient, and purpose.</w:t>
      </w:r>
    </w:p>
    <w:p>
      <w:pPr>
        <w:pStyle w:val="ListBullet"/>
      </w:pPr>
      <w:r>
        <w:t>Suppression lists shall be maintained to ensure withdrawn consent, objections, and opt-outs are respected.</w:t>
      </w:r>
    </w:p>
    <w:p>
      <w:pPr>
        <w:pStyle w:val="ListBullet"/>
      </w:pPr>
      <w:r>
        <w:t>Suppression records shall be used only for the purpose of preventing unwanted processing or communications, unless another lawful basis has been documented.</w:t>
      </w:r>
    </w:p>
    <w:p>
      <w:pPr>
        <w:pStyle w:val="ListBullet"/>
      </w:pPr>
      <w:r>
        <w:t>Changes to consent wording, privacy notices, forms, preference centres, cookie banners, marketing platforms, or related workflows shall be subject to privacy review before implementation.</w:t>
      </w:r>
    </w:p>
    <w:p>
      <w:pPr>
        <w:pStyle w:val="ListBullet"/>
      </w:pPr>
      <w:r>
        <w:t>Consent evidence shall be made available to the Data Protection Officer, Legal, Internal Audit, and authorised management upon request.</w:t>
      </w:r>
    </w:p>
    <w:p>
      <w:pPr>
        <w:pStyle w:val="ListBullet"/>
      </w:pPr>
      <w:r>
        <w:t>Employees shall complete privacy and data protection training relevant to their role before collecting or managing consent.</w:t>
      </w:r>
    </w:p>
    <w:p>
      <w:pPr>
        <w:pStyle w:val="ListBullet"/>
      </w:pPr>
      <w:r>
        <w:t>Employees shall report suspected consent failures, inaccurate consent records, unauthorised processing, or improper withdrawal handling through the approved incident or privacy reporting channel.</w:t>
      </w:r>
    </w:p>
    <w:p>
      <w:pPr>
        <w:pStyle w:val="ListBullet"/>
      </w:pPr>
      <w:r>
        <w:t>Processing activities that rely on consent shall be recorded in the organisation’s data processing inventory.</w:t>
      </w:r>
    </w:p>
    <w:p>
      <w:pPr>
        <w:pStyle w:val="ListBullet"/>
      </w:pPr>
      <w:r>
        <w:t>The data processing inventory shall identify the purpose, data categories, data subjects, systems, recipients, retention period, consent mechanism, and business owner for consent-based processing.</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Leadership</w:t>
            </w:r>
          </w:p>
        </w:tc>
        <w:tc>
          <w:tcPr>
            <w:tcW w:type="dxa" w:w="4320"/>
          </w:tcPr>
          <w:p>
            <w:r>
              <w:t>Approves the organisation’s overall privacy governance direction and ensures adequate resources are available for consent management compliance.</w:t>
            </w:r>
          </w:p>
        </w:tc>
      </w:tr>
      <w:tr>
        <w:tc>
          <w:tcPr>
            <w:tcW w:type="dxa" w:w="4320"/>
          </w:tcPr>
          <w:p>
            <w:r>
              <w:t>Data Protection Officer</w:t>
            </w:r>
          </w:p>
        </w:tc>
        <w:tc>
          <w:tcPr>
            <w:tcW w:type="dxa" w:w="4320"/>
          </w:tcPr>
          <w:p>
            <w:r>
              <w:t>Owns this policy, advises on consent requirements, reviews high-risk consent activities, monitors compliance, and acts as a point of contact for privacy concerns.</w:t>
            </w:r>
          </w:p>
        </w:tc>
      </w:tr>
      <w:tr>
        <w:tc>
          <w:tcPr>
            <w:tcW w:type="dxa" w:w="4320"/>
          </w:tcPr>
          <w:p>
            <w:r>
              <w:t>Legal Counsel</w:t>
            </w:r>
          </w:p>
        </w:tc>
        <w:tc>
          <w:tcPr>
            <w:tcW w:type="dxa" w:w="4320"/>
          </w:tcPr>
          <w:p>
            <w:r>
              <w:t>Advises on legal interpretation, contractual requirements, third-party consent arrangements, complaints, disputes, and regulatory correspondence.</w:t>
            </w:r>
          </w:p>
        </w:tc>
      </w:tr>
      <w:tr>
        <w:tc>
          <w:tcPr>
            <w:tcW w:type="dxa" w:w="4320"/>
          </w:tcPr>
          <w:p>
            <w:r>
              <w:t>Privacy Team</w:t>
            </w:r>
          </w:p>
        </w:tc>
        <w:tc>
          <w:tcPr>
            <w:tcW w:type="dxa" w:w="4320"/>
          </w:tcPr>
          <w:p>
            <w:r>
              <w:t>Supports business teams with consent wording, privacy notices, records, assessments, training, monitoring, and remediation activities.</w:t>
            </w:r>
          </w:p>
        </w:tc>
      </w:tr>
      <w:tr>
        <w:tc>
          <w:tcPr>
            <w:tcW w:type="dxa" w:w="4320"/>
          </w:tcPr>
          <w:p>
            <w:r>
              <w:t>Business Process Owners</w:t>
            </w:r>
          </w:p>
        </w:tc>
        <w:tc>
          <w:tcPr>
            <w:tcW w:type="dxa" w:w="4320"/>
          </w:tcPr>
          <w:p>
            <w:r>
              <w:t>Ensure processing activities under their control use an appropriate lawful basis, implement compliant consent mechanisms, maintain records, and action withdrawals.</w:t>
            </w:r>
          </w:p>
        </w:tc>
      </w:tr>
      <w:tr>
        <w:tc>
          <w:tcPr>
            <w:tcW w:type="dxa" w:w="4320"/>
          </w:tcPr>
          <w:p>
            <w:r>
              <w:t>Marketing Team</w:t>
            </w:r>
          </w:p>
        </w:tc>
        <w:tc>
          <w:tcPr>
            <w:tcW w:type="dxa" w:w="4320"/>
          </w:tcPr>
          <w:p>
            <w:r>
              <w:t>Ensures marketing consents, opt-ins, opt-outs, preference centre records, campaign lists, and suppression lists are accurate and compliant.</w:t>
            </w:r>
          </w:p>
        </w:tc>
      </w:tr>
      <w:tr>
        <w:tc>
          <w:tcPr>
            <w:tcW w:type="dxa" w:w="4320"/>
          </w:tcPr>
          <w:p>
            <w:r>
              <w:t>Product and Digital Teams</w:t>
            </w:r>
          </w:p>
        </w:tc>
        <w:tc>
          <w:tcPr>
            <w:tcW w:type="dxa" w:w="4320"/>
          </w:tcPr>
          <w:p>
            <w:r>
              <w:t>Build consent requirements into websites, applications, platforms, cookie tools, preference centres, and user journeys by design.</w:t>
            </w:r>
          </w:p>
        </w:tc>
      </w:tr>
      <w:tr>
        <w:tc>
          <w:tcPr>
            <w:tcW w:type="dxa" w:w="4320"/>
          </w:tcPr>
          <w:p>
            <w:r>
              <w:t>IT and System Owners</w:t>
            </w:r>
          </w:p>
        </w:tc>
        <w:tc>
          <w:tcPr>
            <w:tcW w:type="dxa" w:w="4320"/>
          </w:tcPr>
          <w:p>
            <w:r>
              <w:t>Implement technical controls to capture, store, secure, synchronise, retrieve, and delete consent records in line with this policy.</w:t>
            </w:r>
          </w:p>
        </w:tc>
      </w:tr>
      <w:tr>
        <w:tc>
          <w:tcPr>
            <w:tcW w:type="dxa" w:w="4320"/>
          </w:tcPr>
          <w:p>
            <w:r>
              <w:t>Information Security Team</w:t>
            </w:r>
          </w:p>
        </w:tc>
        <w:tc>
          <w:tcPr>
            <w:tcW w:type="dxa" w:w="4320"/>
          </w:tcPr>
          <w:p>
            <w:r>
              <w:t>Ensures consent records and related systems are protected through appropriate access control, logging, monitoring, and security measures.</w:t>
            </w:r>
          </w:p>
        </w:tc>
      </w:tr>
      <w:tr>
        <w:tc>
          <w:tcPr>
            <w:tcW w:type="dxa" w:w="4320"/>
          </w:tcPr>
          <w:p>
            <w:r>
              <w:t>Procurement and Vendor Management</w:t>
            </w:r>
          </w:p>
        </w:tc>
        <w:tc>
          <w:tcPr>
            <w:tcW w:type="dxa" w:w="4320"/>
          </w:tcPr>
          <w:p>
            <w:r>
              <w:t>Ensures third parties that collect or process consent-based personal data are assessed, contracted, and monitored appropriately.</w:t>
            </w:r>
          </w:p>
        </w:tc>
      </w:tr>
      <w:tr>
        <w:tc>
          <w:tcPr>
            <w:tcW w:type="dxa" w:w="4320"/>
          </w:tcPr>
          <w:p>
            <w:r>
              <w:t>Human Resources</w:t>
            </w:r>
          </w:p>
        </w:tc>
        <w:tc>
          <w:tcPr>
            <w:tcW w:type="dxa" w:w="4320"/>
          </w:tcPr>
          <w:p>
            <w:r>
              <w:t>Ensures employee-related consent is used only where appropriate and that staff involved in collecting or managing consent receive relevant training.</w:t>
            </w:r>
          </w:p>
        </w:tc>
      </w:tr>
      <w:tr>
        <w:tc>
          <w:tcPr>
            <w:tcW w:type="dxa" w:w="4320"/>
          </w:tcPr>
          <w:p>
            <w:r>
              <w:t>Customer Service and Sales Teams</w:t>
            </w:r>
          </w:p>
        </w:tc>
        <w:tc>
          <w:tcPr>
            <w:tcW w:type="dxa" w:w="4320"/>
          </w:tcPr>
          <w:p>
            <w:r>
              <w:t>Capture and update consent preferences accurately, follow approved scripts, and handle withdrawal requests promptly.</w:t>
            </w:r>
          </w:p>
        </w:tc>
      </w:tr>
      <w:tr>
        <w:tc>
          <w:tcPr>
            <w:tcW w:type="dxa" w:w="4320"/>
          </w:tcPr>
          <w:p>
            <w:r>
              <w:t>Internal Audit or Compliance Function</w:t>
            </w:r>
          </w:p>
        </w:tc>
        <w:tc>
          <w:tcPr>
            <w:tcW w:type="dxa" w:w="4320"/>
          </w:tcPr>
          <w:p>
            <w:r>
              <w:t>Performs independent or periodic reviews of consent management controls, evidence, and remediation progress.</w:t>
            </w:r>
          </w:p>
        </w:tc>
      </w:tr>
      <w:tr>
        <w:tc>
          <w:tcPr>
            <w:tcW w:type="dxa" w:w="4320"/>
          </w:tcPr>
          <w:p>
            <w:r>
              <w:t>All Employees and Contractors</w:t>
            </w:r>
          </w:p>
        </w:tc>
        <w:tc>
          <w:tcPr>
            <w:tcW w:type="dxa" w:w="4320"/>
          </w:tcPr>
          <w:p>
            <w:r>
              <w:t>Follow this policy, use approved consent mechanisms, protect consent records, and report suspected non-compliance.</w:t>
            </w:r>
          </w:p>
        </w:tc>
      </w:tr>
    </w:tbl>
    <w:p>
      <w:pPr>
        <w:pStyle w:val="Heading2"/>
      </w:pPr>
      <w:r>
        <w:t>Compliance, Monitoring &amp; Enforcement</w:t>
      </w:r>
    </w:p>
    <w:p>
      <w:r>
        <w:t>The organisation shall monitor compliance with this policy through risk-based assurance activities, including system reviews, record sampling, consent journey testing, vendor checks, marketing campaign reviews, and audit activities.</w:t>
      </w:r>
    </w:p>
    <w:p>
      <w:r>
        <w:t>Monitoring activities shall include, where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Evidence</w:t>
            </w:r>
          </w:p>
        </w:tc>
      </w:tr>
      <w:tr>
        <w:tc>
          <w:tcPr>
            <w:tcW w:type="dxa" w:w="2160"/>
          </w:tcPr>
          <w:p>
            <w:r>
              <w:t>Review of consent wording and capture mechanisms</w:t>
            </w:r>
          </w:p>
        </w:tc>
        <w:tc>
          <w:tcPr>
            <w:tcW w:type="dxa" w:w="2160"/>
          </w:tcPr>
          <w:p>
            <w:r>
              <w:t>Before launch and upon material change</w:t>
            </w:r>
          </w:p>
        </w:tc>
        <w:tc>
          <w:tcPr>
            <w:tcW w:type="dxa" w:w="2160"/>
          </w:tcPr>
          <w:p>
            <w:r>
              <w:t>Data Protection Officer / Privacy Team</w:t>
            </w:r>
          </w:p>
        </w:tc>
        <w:tc>
          <w:tcPr>
            <w:tcW w:type="dxa" w:w="2160"/>
          </w:tcPr>
          <w:p>
            <w:r>
              <w:t>Approved consent text, screenshots, form versions, sign-off records</w:t>
            </w:r>
          </w:p>
        </w:tc>
      </w:tr>
      <w:tr>
        <w:tc>
          <w:tcPr>
            <w:tcW w:type="dxa" w:w="2160"/>
          </w:tcPr>
          <w:p>
            <w:r>
              <w:t>Sampling of consent records for completeness</w:t>
            </w:r>
          </w:p>
        </w:tc>
        <w:tc>
          <w:tcPr>
            <w:tcW w:type="dxa" w:w="2160"/>
          </w:tcPr>
          <w:p>
            <w:r>
              <w:t>Quarterly</w:t>
            </w:r>
          </w:p>
        </w:tc>
        <w:tc>
          <w:tcPr>
            <w:tcW w:type="dxa" w:w="2160"/>
          </w:tcPr>
          <w:p>
            <w:r>
              <w:t>Privacy Team / Compliance</w:t>
            </w:r>
          </w:p>
        </w:tc>
        <w:tc>
          <w:tcPr>
            <w:tcW w:type="dxa" w:w="2160"/>
          </w:tcPr>
          <w:p>
            <w:r>
              <w:t>Sample results, exceptions, remediation actions</w:t>
            </w:r>
          </w:p>
        </w:tc>
      </w:tr>
      <w:tr>
        <w:tc>
          <w:tcPr>
            <w:tcW w:type="dxa" w:w="2160"/>
          </w:tcPr>
          <w:p>
            <w:r>
              <w:t>Marketing list consent validation</w:t>
            </w:r>
          </w:p>
        </w:tc>
        <w:tc>
          <w:tcPr>
            <w:tcW w:type="dxa" w:w="2160"/>
          </w:tcPr>
          <w:p>
            <w:r>
              <w:t>Before each campaign</w:t>
            </w:r>
          </w:p>
        </w:tc>
        <w:tc>
          <w:tcPr>
            <w:tcW w:type="dxa" w:w="2160"/>
          </w:tcPr>
          <w:p>
            <w:r>
              <w:t>Marketing Owner</w:t>
            </w:r>
          </w:p>
        </w:tc>
        <w:tc>
          <w:tcPr>
            <w:tcW w:type="dxa" w:w="2160"/>
          </w:tcPr>
          <w:p>
            <w:r>
              <w:t>Campaign approval, list validation evidence, suppression check</w:t>
            </w:r>
          </w:p>
        </w:tc>
      </w:tr>
      <w:tr>
        <w:tc>
          <w:tcPr>
            <w:tcW w:type="dxa" w:w="2160"/>
          </w:tcPr>
          <w:p>
            <w:r>
              <w:t>Withdrawal handling review</w:t>
            </w:r>
          </w:p>
        </w:tc>
        <w:tc>
          <w:tcPr>
            <w:tcW w:type="dxa" w:w="2160"/>
          </w:tcPr>
          <w:p>
            <w:r>
              <w:t>Quarterly</w:t>
            </w:r>
          </w:p>
        </w:tc>
        <w:tc>
          <w:tcPr>
            <w:tcW w:type="dxa" w:w="2160"/>
          </w:tcPr>
          <w:p>
            <w:r>
              <w:t>Business Process Owner</w:t>
            </w:r>
          </w:p>
        </w:tc>
        <w:tc>
          <w:tcPr>
            <w:tcW w:type="dxa" w:w="2160"/>
          </w:tcPr>
          <w:p>
            <w:r>
              <w:t>Withdrawal logs, processing times, completion evidence</w:t>
            </w:r>
          </w:p>
        </w:tc>
      </w:tr>
      <w:tr>
        <w:tc>
          <w:tcPr>
            <w:tcW w:type="dxa" w:w="2160"/>
          </w:tcPr>
          <w:p>
            <w:r>
              <w:t>Preference centre or consent platform review</w:t>
            </w:r>
          </w:p>
        </w:tc>
        <w:tc>
          <w:tcPr>
            <w:tcW w:type="dxa" w:w="2160"/>
          </w:tcPr>
          <w:p>
            <w:r>
              <w:t>Semi-annually</w:t>
            </w:r>
          </w:p>
        </w:tc>
        <w:tc>
          <w:tcPr>
            <w:tcW w:type="dxa" w:w="2160"/>
          </w:tcPr>
          <w:p>
            <w:r>
              <w:t>Product / IT System Owner</w:t>
            </w:r>
          </w:p>
        </w:tc>
        <w:tc>
          <w:tcPr>
            <w:tcW w:type="dxa" w:w="2160"/>
          </w:tcPr>
          <w:p>
            <w:r>
              <w:t>Configuration review, access logs, change records</w:t>
            </w:r>
          </w:p>
        </w:tc>
      </w:tr>
      <w:tr>
        <w:tc>
          <w:tcPr>
            <w:tcW w:type="dxa" w:w="2160"/>
          </w:tcPr>
          <w:p>
            <w:r>
              <w:t>Third-party consent evidence review</w:t>
            </w:r>
          </w:p>
        </w:tc>
        <w:tc>
          <w:tcPr>
            <w:tcW w:type="dxa" w:w="2160"/>
          </w:tcPr>
          <w:p>
            <w:r>
              <w:t>Annually or before use</w:t>
            </w:r>
          </w:p>
        </w:tc>
        <w:tc>
          <w:tcPr>
            <w:tcW w:type="dxa" w:w="2160"/>
          </w:tcPr>
          <w:p>
            <w:r>
              <w:t>Procurement / Privacy Team</w:t>
            </w:r>
          </w:p>
        </w:tc>
        <w:tc>
          <w:tcPr>
            <w:tcW w:type="dxa" w:w="2160"/>
          </w:tcPr>
          <w:p>
            <w:r>
              <w:t>Due diligence records, contractual clauses, vendor attestations</w:t>
            </w:r>
          </w:p>
        </w:tc>
      </w:tr>
      <w:tr>
        <w:tc>
          <w:tcPr>
            <w:tcW w:type="dxa" w:w="2160"/>
          </w:tcPr>
          <w:p>
            <w:r>
              <w:t>Data processing inventory reconciliation</w:t>
            </w:r>
          </w:p>
        </w:tc>
        <w:tc>
          <w:tcPr>
            <w:tcW w:type="dxa" w:w="2160"/>
          </w:tcPr>
          <w:p>
            <w:r>
              <w:t>Semi-annually</w:t>
            </w:r>
          </w:p>
        </w:tc>
        <w:tc>
          <w:tcPr>
            <w:tcW w:type="dxa" w:w="2160"/>
          </w:tcPr>
          <w:p>
            <w:r>
              <w:t>Business Process Owner / Privacy Team</w:t>
            </w:r>
          </w:p>
        </w:tc>
        <w:tc>
          <w:tcPr>
            <w:tcW w:type="dxa" w:w="2160"/>
          </w:tcPr>
          <w:p>
            <w:r>
              <w:t>Updated inventory records</w:t>
            </w:r>
          </w:p>
        </w:tc>
      </w:tr>
      <w:tr>
        <w:tc>
          <w:tcPr>
            <w:tcW w:type="dxa" w:w="2160"/>
          </w:tcPr>
          <w:p>
            <w:r>
              <w:t>Training completion monitoring</w:t>
            </w:r>
          </w:p>
        </w:tc>
        <w:tc>
          <w:tcPr>
            <w:tcW w:type="dxa" w:w="2160"/>
          </w:tcPr>
          <w:p>
            <w:r>
              <w:t>Annually</w:t>
            </w:r>
          </w:p>
        </w:tc>
        <w:tc>
          <w:tcPr>
            <w:tcW w:type="dxa" w:w="2160"/>
          </w:tcPr>
          <w:p>
            <w:r>
              <w:t>Human Resources / Privacy Team</w:t>
            </w:r>
          </w:p>
        </w:tc>
        <w:tc>
          <w:tcPr>
            <w:tcW w:type="dxa" w:w="2160"/>
          </w:tcPr>
          <w:p>
            <w:r>
              <w:t>Training reports and completion records</w:t>
            </w:r>
          </w:p>
        </w:tc>
      </w:tr>
    </w:tbl>
    <w:p>
      <w:r>
        <w:t>Non-compliance with this policy may result in corrective action, including suspension of processing, withdrawal of campaign approval, removal of system access, mandatory retraining, contract remediation, vendor escalation, disciplinary action, or other action permitted by organisational policy and applicable law.</w:t>
      </w:r>
    </w:p>
    <w:p>
      <w:r>
        <w:t>Suspected or confirmed breaches of this policy shall be reported promptly through [Privacy Incident Reporting Channel] or to the Data Protection Officer at [DPO Contact Details].</w:t>
      </w:r>
    </w:p>
    <w:p>
      <w:r>
        <w:t>Where non-compliance creates a risk to individuals, the Data Protection Officer shall assess whether further action is required, including notification, remediation, suspension of processing, or engagement with relevant authorities.</w:t>
      </w:r>
    </w:p>
    <w:p>
      <w:pPr>
        <w:pStyle w:val="Heading2"/>
      </w:pPr>
      <w:r>
        <w:t>Exceptions</w:t>
      </w:r>
    </w:p>
    <w:p>
      <w:r>
        <w:t>Exceptions to this policy shall be permitted only where there is a documented business need, legal justification, and risk assessment approved by the Data Protection Officer or authorised delegate.</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department, and contact details</w:t>
            </w:r>
          </w:p>
        </w:tc>
      </w:tr>
      <w:tr>
        <w:tc>
          <w:tcPr>
            <w:tcW w:type="dxa" w:w="4320"/>
          </w:tcPr>
          <w:p>
            <w:r>
              <w:t>Processing activity</w:t>
            </w:r>
          </w:p>
        </w:tc>
        <w:tc>
          <w:tcPr>
            <w:tcW w:type="dxa" w:w="4320"/>
          </w:tcPr>
          <w:p>
            <w:r>
              <w:t>Description of the processing and personal data involved</w:t>
            </w:r>
          </w:p>
        </w:tc>
      </w:tr>
      <w:tr>
        <w:tc>
          <w:tcPr>
            <w:tcW w:type="dxa" w:w="4320"/>
          </w:tcPr>
          <w:p>
            <w:r>
              <w:t>Policy requirement affected</w:t>
            </w:r>
          </w:p>
        </w:tc>
        <w:tc>
          <w:tcPr>
            <w:tcW w:type="dxa" w:w="4320"/>
          </w:tcPr>
          <w:p>
            <w:r>
              <w:t>Specific requirement from this policy for which an exception is requested</w:t>
            </w:r>
          </w:p>
        </w:tc>
      </w:tr>
      <w:tr>
        <w:tc>
          <w:tcPr>
            <w:tcW w:type="dxa" w:w="4320"/>
          </w:tcPr>
          <w:p>
            <w:r>
              <w:t>Business justification</w:t>
            </w:r>
          </w:p>
        </w:tc>
        <w:tc>
          <w:tcPr>
            <w:tcW w:type="dxa" w:w="4320"/>
          </w:tcPr>
          <w:p>
            <w:r>
              <w:t>Reason the exception is necessary</w:t>
            </w:r>
          </w:p>
        </w:tc>
      </w:tr>
      <w:tr>
        <w:tc>
          <w:tcPr>
            <w:tcW w:type="dxa" w:w="4320"/>
          </w:tcPr>
          <w:p>
            <w:r>
              <w:t>Risk assessment</w:t>
            </w:r>
          </w:p>
        </w:tc>
        <w:tc>
          <w:tcPr>
            <w:tcW w:type="dxa" w:w="4320"/>
          </w:tcPr>
          <w:p>
            <w:r>
              <w:t>Privacy, legal, operational, reputational, and individual impact</w:t>
            </w:r>
          </w:p>
        </w:tc>
      </w:tr>
      <w:tr>
        <w:tc>
          <w:tcPr>
            <w:tcW w:type="dxa" w:w="4320"/>
          </w:tcPr>
          <w:p>
            <w:r>
              <w:t>Compensating controls</w:t>
            </w:r>
          </w:p>
        </w:tc>
        <w:tc>
          <w:tcPr>
            <w:tcW w:type="dxa" w:w="4320"/>
          </w:tcPr>
          <w:p>
            <w:r>
              <w:t>Measures to reduce or manage the risk</w:t>
            </w:r>
          </w:p>
        </w:tc>
      </w:tr>
      <w:tr>
        <w:tc>
          <w:tcPr>
            <w:tcW w:type="dxa" w:w="4320"/>
          </w:tcPr>
          <w:p>
            <w:r>
              <w:t>Duration</w:t>
            </w:r>
          </w:p>
        </w:tc>
        <w:tc>
          <w:tcPr>
            <w:tcW w:type="dxa" w:w="4320"/>
          </w:tcPr>
          <w:p>
            <w:r>
              <w:t>Requested start and end date</w:t>
            </w:r>
          </w:p>
        </w:tc>
      </w:tr>
      <w:tr>
        <w:tc>
          <w:tcPr>
            <w:tcW w:type="dxa" w:w="4320"/>
          </w:tcPr>
          <w:p>
            <w:r>
              <w:t>Approval</w:t>
            </w:r>
          </w:p>
        </w:tc>
        <w:tc>
          <w:tcPr>
            <w:tcW w:type="dxa" w:w="4320"/>
          </w:tcPr>
          <w:p>
            <w:r>
              <w:t>Data Protection Officer or authorised delegate decision</w:t>
            </w:r>
          </w:p>
        </w:tc>
      </w:tr>
      <w:tr>
        <w:tc>
          <w:tcPr>
            <w:tcW w:type="dxa" w:w="4320"/>
          </w:tcPr>
          <w:p>
            <w:r>
              <w:t>Review date</w:t>
            </w:r>
          </w:p>
        </w:tc>
        <w:tc>
          <w:tcPr>
            <w:tcW w:type="dxa" w:w="4320"/>
          </w:tcPr>
          <w:p>
            <w:r>
              <w:t>Date the exception will be reassessed</w:t>
            </w:r>
          </w:p>
        </w:tc>
      </w:tr>
    </w:tbl>
    <w:p>
      <w:r>
        <w:t>Exceptions shall be time-bound and shall not exceed [Maximum Exception Period] unless reapproved.</w:t>
      </w:r>
    </w:p>
    <w:p>
      <w:r>
        <w:t>Permanent exceptions are not permitted unless this policy is formally updated through the review and approval process.</w:t>
      </w:r>
    </w:p>
    <w:p>
      <w:r>
        <w:t>Emergency exceptions may be approved verbally by the Data Protection Officer or authorised delegate where immediate action is required, provided that the exception is documented within [Number] business days.</w:t>
      </w:r>
    </w:p>
    <w:p>
      <w:pPr>
        <w:pStyle w:val="Heading2"/>
      </w:pPr>
      <w:r>
        <w:t>Review &amp; Maintenance</w:t>
      </w:r>
    </w:p>
    <w:p>
      <w:r>
        <w:t>This policy shall be reviewed at least annually and whenever there is a material change to:</w:t>
      </w:r>
    </w:p>
    <w:p>
      <w:pPr>
        <w:pStyle w:val="ListBullet"/>
      </w:pPr>
      <w:r>
        <w:t>Applicable privacy or data protection law.</w:t>
      </w:r>
    </w:p>
    <w:p>
      <w:pPr>
        <w:pStyle w:val="ListBullet"/>
      </w:pPr>
      <w:r>
        <w:t>Organisational processing activities.</w:t>
      </w:r>
    </w:p>
    <w:p>
      <w:pPr>
        <w:pStyle w:val="ListBullet"/>
      </w:pPr>
      <w:r>
        <w:t>Consent management technology.</w:t>
      </w:r>
    </w:p>
    <w:p>
      <w:pPr>
        <w:pStyle w:val="ListBullet"/>
      </w:pPr>
      <w:r>
        <w:t>Marketing, analytics, profiling, or tracking practices.</w:t>
      </w:r>
    </w:p>
    <w:p>
      <w:pPr>
        <w:pStyle w:val="ListBullet"/>
      </w:pPr>
      <w:r>
        <w:t>Data sharing or third-party arrangements.</w:t>
      </w:r>
    </w:p>
    <w:p>
      <w:pPr>
        <w:pStyle w:val="ListBullet"/>
      </w:pPr>
      <w:r>
        <w:t>Products, services, or user journeys involving consent.</w:t>
      </w:r>
    </w:p>
    <w:p>
      <w:pPr>
        <w:pStyle w:val="ListBullet"/>
      </w:pPr>
      <w:r>
        <w:t>Regulatory guidance, enforcement trends, audit findings, or privacy risk profile.</w:t>
      </w:r>
    </w:p>
    <w:p>
      <w:r>
        <w:t>The Data Protection Officer is responsible for coordinating the review and ensuring that updates are approved, communicated, and implemented.</w:t>
      </w:r>
    </w:p>
    <w:p>
      <w:r>
        <w:t>Policy changes shall be recorded in the document history maintained by the policy owner.</w:t>
      </w:r>
    </w:p>
    <w:p>
      <w:r>
        <w:t>The current approved version of this policy shall be made available to all relevant personnel through [Policy Repository or Intranet Location].</w:t>
      </w:r>
    </w:p>
    <w:p>
      <w:r>
        <w:t>Superseded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