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Scope &amp; TSC Selection Memo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[DOC-SOC2-SCOPE-TSC-001]</w:t>
            </w:r>
          </w:p>
        </w:tc>
        <w:tc>
          <w:tcPr>
            <w:tcW w:type="dxa" w:w="1440"/>
          </w:tcPr>
          <w:p>
            <w:r>
              <w:t>1.0</w:t>
            </w:r>
          </w:p>
        </w:tc>
        <w:tc>
          <w:tcPr>
            <w:tcW w:type="dxa" w:w="1440"/>
          </w:tcPr>
          <w:p>
            <w:r>
              <w:t>[Compliance Owner / GRC Lead]</w:t>
            </w:r>
          </w:p>
        </w:tc>
        <w:tc>
          <w:tcPr>
            <w:tcW w:type="dxa" w:w="1440"/>
          </w:tcPr>
          <w:p>
            <w:r>
              <w:t>[Effective Date]</w:t>
            </w:r>
          </w:p>
        </w:tc>
        <w:tc>
          <w:tcPr>
            <w:tcW w:type="dxa" w:w="1440"/>
          </w:tcPr>
          <w:p>
            <w:r>
              <w:t>SOC 2</w:t>
            </w:r>
          </w:p>
        </w:tc>
        <w:tc>
          <w:tcPr>
            <w:tcW w:type="dxa" w:w="1440"/>
          </w:tcPr>
          <w:p>
            <w:r>
              <w:t>Internal</w:t>
            </w:r>
          </w:p>
        </w:tc>
      </w:tr>
    </w:tbl>
    <w:p>
      <w:pPr>
        <w:pStyle w:val="Heading1"/>
      </w:pPr>
      <w:r>
        <w:t>Scope &amp; TSC Selection Memo</w:t>
      </w:r>
    </w:p>
    <w:p>
      <w:pPr>
        <w:pStyle w:val="Heading2"/>
      </w:pPr>
      <w:r>
        <w:t>Purpose</w:t>
      </w:r>
    </w:p>
    <w:p>
      <w:r>
        <w:t>This Policy establishes the mandatory scope and Trust Services Criteria selection for the organisation’s SOC 2 program. It defines the systems, services, people, processes, locations, data types, service commitments, and selected criteria categories that shall be included in SOC 2 readiness, control design, control operation, evidence collection, management review, and external examination activities.</w:t>
      </w:r>
    </w:p>
    <w:p>
      <w:r>
        <w:t>The purpose of this Policy is to ensure that the SOC 2 examination scope is accurate, defensible, aligned with customer commitments, and consistently applied across business, technology, security, privacy, and operational teams.</w:t>
      </w:r>
    </w:p>
    <w:p>
      <w:pPr>
        <w:pStyle w:val="Heading2"/>
      </w:pPr>
      <w:r>
        <w:t>Scope</w:t>
      </w:r>
    </w:p>
    <w:p>
      <w:r>
        <w:t>This Policy applies to all organisational units, personnel, contractors, systems, processes, third-party services, and data flows that support the delivery, security, availability, confidentiality, processing integrity, or privacy of the in-scope service.</w:t>
      </w:r>
    </w:p>
    <w:p>
      <w:r>
        <w:t>The in-scope service for SOC 2 is:</w:t>
      </w:r>
    </w:p>
    <w:tbl>
      <w:tblPr>
        <w:tblStyle w:val="TableGrid"/>
        <w:tblW w:type="auto" w:w="0"/>
        <w:tblLook w:firstColumn="1" w:firstRow="1" w:lastColumn="0" w:lastRow="0" w:noHBand="0" w:noVBand="1" w:val="04A0"/>
      </w:tblPr>
      <w:tblGrid>
        <w:gridCol w:w="4320"/>
        <w:gridCol w:w="4320"/>
      </w:tblGrid>
      <w:tr>
        <w:tc>
          <w:tcPr>
            <w:tcW w:type="dxa" w:w="4320"/>
          </w:tcPr>
          <w:p>
            <w:r>
              <w:t>Scope Element</w:t>
            </w:r>
          </w:p>
        </w:tc>
        <w:tc>
          <w:tcPr>
            <w:tcW w:type="dxa" w:w="4320"/>
          </w:tcPr>
          <w:p>
            <w:r>
              <w:t>Description</w:t>
            </w:r>
          </w:p>
        </w:tc>
      </w:tr>
      <w:tr>
        <w:tc>
          <w:tcPr>
            <w:tcW w:type="dxa" w:w="4320"/>
          </w:tcPr>
          <w:p>
            <w:r>
              <w:t>In-Scope Service</w:t>
            </w:r>
          </w:p>
        </w:tc>
        <w:tc>
          <w:tcPr>
            <w:tcW w:type="dxa" w:w="4320"/>
          </w:tcPr>
          <w:p>
            <w:r>
              <w:t>[Name of product, platform, application, managed service, or service offering]</w:t>
            </w:r>
          </w:p>
        </w:tc>
      </w:tr>
      <w:tr>
        <w:tc>
          <w:tcPr>
            <w:tcW w:type="dxa" w:w="4320"/>
          </w:tcPr>
          <w:p>
            <w:r>
              <w:t>Service Description</w:t>
            </w:r>
          </w:p>
        </w:tc>
        <w:tc>
          <w:tcPr>
            <w:tcW w:type="dxa" w:w="4320"/>
          </w:tcPr>
          <w:p>
            <w:r>
              <w:t>[Brief description of the service provided to customers]</w:t>
            </w:r>
          </w:p>
        </w:tc>
      </w:tr>
      <w:tr>
        <w:tc>
          <w:tcPr>
            <w:tcW w:type="dxa" w:w="4320"/>
          </w:tcPr>
          <w:p>
            <w:r>
              <w:t>Primary Customers</w:t>
            </w:r>
          </w:p>
        </w:tc>
        <w:tc>
          <w:tcPr>
            <w:tcW w:type="dxa" w:w="4320"/>
          </w:tcPr>
          <w:p>
            <w:r>
              <w:t>[Customer segments, industries, or user groups]</w:t>
            </w:r>
          </w:p>
        </w:tc>
      </w:tr>
      <w:tr>
        <w:tc>
          <w:tcPr>
            <w:tcW w:type="dxa" w:w="4320"/>
          </w:tcPr>
          <w:p>
            <w:r>
              <w:t>Examination Type</w:t>
            </w:r>
          </w:p>
        </w:tc>
        <w:tc>
          <w:tcPr>
            <w:tcW w:type="dxa" w:w="4320"/>
          </w:tcPr>
          <w:p>
            <w:r>
              <w:t>[Type I / Type II]</w:t>
            </w:r>
          </w:p>
        </w:tc>
      </w:tr>
      <w:tr>
        <w:tc>
          <w:tcPr>
            <w:tcW w:type="dxa" w:w="4320"/>
          </w:tcPr>
          <w:p>
            <w:r>
              <w:t>Intended Reporting Period</w:t>
            </w:r>
          </w:p>
        </w:tc>
        <w:tc>
          <w:tcPr>
            <w:tcW w:type="dxa" w:w="4320"/>
          </w:tcPr>
          <w:p>
            <w:r>
              <w:t>[Start Date] to [End Date]</w:t>
            </w:r>
          </w:p>
        </w:tc>
      </w:tr>
      <w:tr>
        <w:tc>
          <w:tcPr>
            <w:tcW w:type="dxa" w:w="4320"/>
          </w:tcPr>
          <w:p>
            <w:r>
              <w:t>Primary Business Owner</w:t>
            </w:r>
          </w:p>
        </w:tc>
        <w:tc>
          <w:tcPr>
            <w:tcW w:type="dxa" w:w="4320"/>
          </w:tcPr>
          <w:p>
            <w:r>
              <w:t>[Business Owner]</w:t>
            </w:r>
          </w:p>
        </w:tc>
      </w:tr>
      <w:tr>
        <w:tc>
          <w:tcPr>
            <w:tcW w:type="dxa" w:w="4320"/>
          </w:tcPr>
          <w:p>
            <w:r>
              <w:t>Primary Technical Owner</w:t>
            </w:r>
          </w:p>
        </w:tc>
        <w:tc>
          <w:tcPr>
            <w:tcW w:type="dxa" w:w="4320"/>
          </w:tcPr>
          <w:p>
            <w:r>
              <w:t>[Technical Owner]</w:t>
            </w:r>
          </w:p>
        </w:tc>
      </w:tr>
      <w:tr>
        <w:tc>
          <w:tcPr>
            <w:tcW w:type="dxa" w:w="4320"/>
          </w:tcPr>
          <w:p>
            <w:r>
              <w:t>Primary Compliance Owner</w:t>
            </w:r>
          </w:p>
        </w:tc>
        <w:tc>
          <w:tcPr>
            <w:tcW w:type="dxa" w:w="4320"/>
          </w:tcPr>
          <w:p>
            <w:r>
              <w:t>[Compliance Owner]</w:t>
            </w:r>
          </w:p>
        </w:tc>
      </w:tr>
    </w:tbl>
    <w:p>
      <w:r>
        <w:t>The SOC 2 program shall include the following selected Trust Services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Selection Status</w:t>
            </w:r>
          </w:p>
        </w:tc>
        <w:tc>
          <w:tcPr>
            <w:tcW w:type="dxa" w:w="2880"/>
          </w:tcPr>
          <w:p>
            <w:r>
              <w:t>Rationale</w:t>
            </w:r>
          </w:p>
        </w:tc>
      </w:tr>
      <w:tr>
        <w:tc>
          <w:tcPr>
            <w:tcW w:type="dxa" w:w="2880"/>
          </w:tcPr>
          <w:p>
            <w:r>
              <w:t>Security</w:t>
            </w:r>
          </w:p>
        </w:tc>
        <w:tc>
          <w:tcPr>
            <w:tcW w:type="dxa" w:w="2880"/>
          </w:tcPr>
          <w:p>
            <w:r>
              <w:t>Mandatory - Included</w:t>
            </w:r>
          </w:p>
        </w:tc>
        <w:tc>
          <w:tcPr>
            <w:tcW w:type="dxa" w:w="2880"/>
          </w:tcPr>
          <w:p>
            <w:r>
              <w:t>Required for every SOC 2 examination and applicable to protection of systems and data against unauthorized access, unauthorized disclosure, and damage that could affect the organisation’s ability to meet its service commitments.</w:t>
            </w:r>
          </w:p>
        </w:tc>
      </w:tr>
      <w:tr>
        <w:tc>
          <w:tcPr>
            <w:tcW w:type="dxa" w:w="2880"/>
          </w:tcPr>
          <w:p>
            <w:r>
              <w:t>Availability</w:t>
            </w:r>
          </w:p>
        </w:tc>
        <w:tc>
          <w:tcPr>
            <w:tcW w:type="dxa" w:w="2880"/>
          </w:tcPr>
          <w:p>
            <w:r>
              <w:t>Included</w:t>
            </w:r>
          </w:p>
        </w:tc>
        <w:tc>
          <w:tcPr>
            <w:tcW w:type="dxa" w:w="2880"/>
          </w:tcPr>
          <w:p>
            <w:r>
              <w:t>Selected because the organisation makes commitments regarding service uptime, resilience, continuity, incident response, backup, recovery, monitoring, and capacity management.</w:t>
            </w:r>
          </w:p>
        </w:tc>
      </w:tr>
      <w:tr>
        <w:tc>
          <w:tcPr>
            <w:tcW w:type="dxa" w:w="2880"/>
          </w:tcPr>
          <w:p>
            <w:r>
              <w:t>Confidentiality</w:t>
            </w:r>
          </w:p>
        </w:tc>
        <w:tc>
          <w:tcPr>
            <w:tcW w:type="dxa" w:w="2880"/>
          </w:tcPr>
          <w:p>
            <w:r>
              <w:t>Included</w:t>
            </w:r>
          </w:p>
        </w:tc>
        <w:tc>
          <w:tcPr>
            <w:tcW w:type="dxa" w:w="2880"/>
          </w:tcPr>
          <w:p>
            <w:r>
              <w:t>Selected because the organisation stores, processes, or transmits confidential customer information, business data, contractual information, or other restricted information requiring controlled access and protection from unauthorized disclosure.</w:t>
            </w:r>
          </w:p>
        </w:tc>
      </w:tr>
      <w:tr>
        <w:tc>
          <w:tcPr>
            <w:tcW w:type="dxa" w:w="2880"/>
          </w:tcPr>
          <w:p>
            <w:r>
              <w:t>Processing Integrity</w:t>
            </w:r>
          </w:p>
        </w:tc>
        <w:tc>
          <w:tcPr>
            <w:tcW w:type="dxa" w:w="2880"/>
          </w:tcPr>
          <w:p>
            <w:r>
              <w:t>Included</w:t>
            </w:r>
          </w:p>
        </w:tc>
        <w:tc>
          <w:tcPr>
            <w:tcW w:type="dxa" w:w="2880"/>
          </w:tcPr>
          <w:p>
            <w:r>
              <w:t>Selected because the organisation processes customer transactions, workflows, records, data transformations, reports, integrations, or automated outputs where completeness, accuracy, validity, timeliness, and authorization are material to customer commitments.</w:t>
            </w:r>
          </w:p>
        </w:tc>
      </w:tr>
      <w:tr>
        <w:tc>
          <w:tcPr>
            <w:tcW w:type="dxa" w:w="2880"/>
          </w:tcPr>
          <w:p>
            <w:r>
              <w:t>Privacy</w:t>
            </w:r>
          </w:p>
        </w:tc>
        <w:tc>
          <w:tcPr>
            <w:tcW w:type="dxa" w:w="2880"/>
          </w:tcPr>
          <w:p>
            <w:r>
              <w:t>Included</w:t>
            </w:r>
          </w:p>
        </w:tc>
        <w:tc>
          <w:tcPr>
            <w:tcW w:type="dxa" w:w="2880"/>
          </w:tcPr>
          <w:p>
            <w:r>
              <w:t>Selected because the organisation collects, uses, retains, discloses, or disposes of personal information on behalf of customers, users, employees, or other individuals and has privacy commitments or regulatory obligations.</w:t>
            </w:r>
          </w:p>
        </w:tc>
      </w:tr>
    </w:tbl>
    <w:p>
      <w:r>
        <w:t>The SOC 2 system boundary shall include the following components where they support the in-scope service:</w:t>
      </w:r>
    </w:p>
    <w:tbl>
      <w:tblPr>
        <w:tblStyle w:val="TableGrid"/>
        <w:tblW w:type="auto" w:w="0"/>
        <w:tblLook w:firstColumn="1" w:firstRow="1" w:lastColumn="0" w:lastRow="0" w:noHBand="0" w:noVBand="1" w:val="04A0"/>
      </w:tblPr>
      <w:tblGrid>
        <w:gridCol w:w="4320"/>
        <w:gridCol w:w="4320"/>
      </w:tblGrid>
      <w:tr>
        <w:tc>
          <w:tcPr>
            <w:tcW w:type="dxa" w:w="4320"/>
          </w:tcPr>
          <w:p>
            <w:r>
              <w:t>Component Type</w:t>
            </w:r>
          </w:p>
        </w:tc>
        <w:tc>
          <w:tcPr>
            <w:tcW w:type="dxa" w:w="4320"/>
          </w:tcPr>
          <w:p>
            <w:r>
              <w:t>Included Scope</w:t>
            </w:r>
          </w:p>
        </w:tc>
      </w:tr>
      <w:tr>
        <w:tc>
          <w:tcPr>
            <w:tcW w:type="dxa" w:w="4320"/>
          </w:tcPr>
          <w:p>
            <w:r>
              <w:t>Applications</w:t>
            </w:r>
          </w:p>
        </w:tc>
        <w:tc>
          <w:tcPr>
            <w:tcW w:type="dxa" w:w="4320"/>
          </w:tcPr>
          <w:p>
            <w:r>
              <w:t>Customer-facing applications, administrative consoles, APIs, worker services, background jobs, reporting modules, and internal service components supporting the in-scope service.</w:t>
            </w:r>
          </w:p>
        </w:tc>
      </w:tr>
      <w:tr>
        <w:tc>
          <w:tcPr>
            <w:tcW w:type="dxa" w:w="4320"/>
          </w:tcPr>
          <w:p>
            <w:r>
              <w:t>Infrastructure</w:t>
            </w:r>
          </w:p>
        </w:tc>
        <w:tc>
          <w:tcPr>
            <w:tcW w:type="dxa" w:w="4320"/>
          </w:tcPr>
          <w:p>
            <w:r>
              <w:t>Cloud environments, virtual networks, compute resources, containers, databases, object storage, logging platforms, identity services, secrets management, backup systems, and monitoring tools supporting the in-scope service.</w:t>
            </w:r>
          </w:p>
        </w:tc>
      </w:tr>
      <w:tr>
        <w:tc>
          <w:tcPr>
            <w:tcW w:type="dxa" w:w="4320"/>
          </w:tcPr>
          <w:p>
            <w:r>
              <w:t>Data</w:t>
            </w:r>
          </w:p>
        </w:tc>
        <w:tc>
          <w:tcPr>
            <w:tcW w:type="dxa" w:w="4320"/>
          </w:tcPr>
          <w:p>
            <w:r>
              <w:t>Customer data, confidential information, personal information, system logs, metadata, configuration data, support data, audit records, and operational data used to provide or secure the service.</w:t>
            </w:r>
          </w:p>
        </w:tc>
      </w:tr>
      <w:tr>
        <w:tc>
          <w:tcPr>
            <w:tcW w:type="dxa" w:w="4320"/>
          </w:tcPr>
          <w:p>
            <w:r>
              <w:t>People</w:t>
            </w:r>
          </w:p>
        </w:tc>
        <w:tc>
          <w:tcPr>
            <w:tcW w:type="dxa" w:w="4320"/>
          </w:tcPr>
          <w:p>
            <w:r>
              <w:t>Employees, contractors, temporary staff, administrators, developers, support personnel, security personnel, privacy personnel, and operations personnel with responsibilities for the in-scope service.</w:t>
            </w:r>
          </w:p>
        </w:tc>
      </w:tr>
      <w:tr>
        <w:tc>
          <w:tcPr>
            <w:tcW w:type="dxa" w:w="4320"/>
          </w:tcPr>
          <w:p>
            <w:r>
              <w:t>Processes</w:t>
            </w:r>
          </w:p>
        </w:tc>
        <w:tc>
          <w:tcPr>
            <w:tcW w:type="dxa" w:w="4320"/>
          </w:tcPr>
          <w:p>
            <w:r>
              <w:t>Governance, risk management, access control, change management, secure development, incident response, vendor management, business continuity, data protection, privacy operations, support operations, monitoring, and management review processes.</w:t>
            </w:r>
          </w:p>
        </w:tc>
      </w:tr>
      <w:tr>
        <w:tc>
          <w:tcPr>
            <w:tcW w:type="dxa" w:w="4320"/>
          </w:tcPr>
          <w:p>
            <w:r>
              <w:t>Locations</w:t>
            </w:r>
          </w:p>
        </w:tc>
        <w:tc>
          <w:tcPr>
            <w:tcW w:type="dxa" w:w="4320"/>
          </w:tcPr>
          <w:p>
            <w:r>
              <w:t>[Headquarters], [office locations], remote work environments, cloud regions, data processing locations, and support locations relevant to the in-scope service.</w:t>
            </w:r>
          </w:p>
        </w:tc>
      </w:tr>
      <w:tr>
        <w:tc>
          <w:tcPr>
            <w:tcW w:type="dxa" w:w="4320"/>
          </w:tcPr>
          <w:p>
            <w:r>
              <w:t>Third Parties</w:t>
            </w:r>
          </w:p>
        </w:tc>
        <w:tc>
          <w:tcPr>
            <w:tcW w:type="dxa" w:w="4320"/>
          </w:tcPr>
          <w:p>
            <w:r>
              <w:t>Cloud hosting providers, managed service providers, payment processors, identity providers, monitoring providers, support platforms, analytics providers, subprocessors, and other vendors materially supporting the in-scope service.</w:t>
            </w:r>
          </w:p>
        </w:tc>
      </w:tr>
    </w:tbl>
    <w:p>
      <w:r>
        <w:t>The SOC 2 scope shall exclude only those systems, services, entities, geographies, or processes that do not support the in-scope service, do not affect the selected criteria, and do not materially influence the organisation’s ability to meet its service commitments and system requirements.</w:t>
      </w:r>
    </w:p>
    <w:p>
      <w:r>
        <w:t>Any excluded component shall be documented with a business justification, risk assessment, and approval from the Compliance Owner and Executive Sponsor.</w:t>
      </w:r>
    </w:p>
    <w:p>
      <w:pPr>
        <w:pStyle w:val="Heading2"/>
      </w:pPr>
      <w:r>
        <w:t>Policy Statements</w:t>
      </w:r>
    </w:p>
    <w:p>
      <w:pPr>
        <w:pStyle w:val="ListBullet"/>
      </w:pPr>
      <w:r>
        <w:t>The organisation shall maintain a formally approved SOC 2 scope that identifies the in-scope service, examination type, intended reporting period, selected Trust Services categories, business processes, technology components, supporting personnel, physical and remote locations, and relevant third-party services.</w:t>
      </w:r>
    </w:p>
    <w:p>
      <w:pPr>
        <w:pStyle w:val="ListBullet"/>
      </w:pPr>
      <w:r>
        <w:t>The organisation shall include Security as a mandatory SOC 2 category for the in-scope service.</w:t>
      </w:r>
    </w:p>
    <w:p>
      <w:pPr>
        <w:pStyle w:val="ListBullet"/>
      </w:pPr>
      <w:r>
        <w:t>The organisation shall include Availability as a selected SOC 2 category where the organisation commits to service uptime, performance, disaster recovery, backup, business continuity, monitoring, or operational resilience.</w:t>
      </w:r>
    </w:p>
    <w:p>
      <w:pPr>
        <w:pStyle w:val="ListBullet"/>
      </w:pPr>
      <w:r>
        <w:t>The organisation shall include Confidentiality as a selected SOC 2 category where confidential customer data, restricted business information, proprietary information, credentials, secrets, contractual data, or sensitive operational information is stored, processed, transmitted, or accessed.</w:t>
      </w:r>
    </w:p>
    <w:p>
      <w:pPr>
        <w:pStyle w:val="ListBullet"/>
      </w:pPr>
      <w:r>
        <w:t>The organisation shall include Processing Integrity as a selected SOC 2 category where the service performs transaction processing, data ingestion, data transformation, workflow execution, reporting, synchronization, automated decision support, integration handling, or other processing activities that must be complete, accurate, valid, timely, and authorized.</w:t>
      </w:r>
    </w:p>
    <w:p>
      <w:pPr>
        <w:pStyle w:val="ListBullet"/>
      </w:pPr>
      <w:r>
        <w:t>The organisation shall include Privacy as a selected SOC 2 category where personal information is collected, received, stored, used, disclosed, retained, deleted, anonymized, or otherwise processed as part of the in-scope service.</w:t>
      </w:r>
    </w:p>
    <w:p>
      <w:pPr>
        <w:pStyle w:val="ListBullet"/>
      </w:pPr>
      <w:r>
        <w:t>The organisation shall define service commitments and system requirements for each selected category in plain business terms and shall align control design, evidence collection, and management assertions to those commitments and requirements.</w:t>
      </w:r>
    </w:p>
    <w:p>
      <w:pPr>
        <w:pStyle w:val="ListBullet"/>
      </w:pPr>
      <w:r>
        <w:t>The organisation shall maintain a current description of the in-scope system, including the nature of the service, principal service commitments, system components, data flows, user groups, boundaries, subservice organisations, complementary user responsibilities, and relevant controls.</w:t>
      </w:r>
    </w:p>
    <w:p>
      <w:pPr>
        <w:pStyle w:val="ListBullet"/>
      </w:pPr>
      <w:r>
        <w:t>The organisation shall identify and document all material systems, applications, infrastructure, databases, networks, repositories, administrative tools, security tools, logging sources, backup systems, and monitoring platforms that support the in-scope service.</w:t>
      </w:r>
    </w:p>
    <w:p>
      <w:pPr>
        <w:pStyle w:val="ListBullet"/>
      </w:pPr>
      <w:r>
        <w:t>The organisation shall maintain an inventory of material data types processed by the in-scope service, including customer data, confidential information, personal information, authentication data, system data, support data, and audit data.</w:t>
      </w:r>
    </w:p>
    <w:p>
      <w:pPr>
        <w:pStyle w:val="ListBullet"/>
      </w:pPr>
      <w:r>
        <w:t>The organisation shall maintain a data flow view for the in-scope service that identifies major data entry points, processing activities, storage locations, transmission paths, integrations, outputs, deletion points, and third-party transfers.</w:t>
      </w:r>
    </w:p>
    <w:p>
      <w:pPr>
        <w:pStyle w:val="ListBullet"/>
      </w:pPr>
      <w:r>
        <w:t>The organisation shall identify all roles with privileged, administrative, development, support, operational, security, compliance, or privacy responsibilities for the in-scope service.</w:t>
      </w:r>
    </w:p>
    <w:p>
      <w:pPr>
        <w:pStyle w:val="ListBullet"/>
      </w:pPr>
      <w:r>
        <w:t>The organisation shall identify all third-party providers that materially support the in-scope service and shall classify whether their services affect security, availability, confidentiality, processing integrity, privacy, or multiple selected categories.</w:t>
      </w:r>
    </w:p>
    <w:p>
      <w:pPr>
        <w:pStyle w:val="ListBullet"/>
      </w:pPr>
      <w:r>
        <w:t>The organisation shall define whether third-party controls are addressed through direct organisational controls, complementary controls, contractual commitments, vendor assurance reports, security reviews, privacy reviews, or other oversight mechanisms.</w:t>
      </w:r>
    </w:p>
    <w:p>
      <w:pPr>
        <w:pStyle w:val="ListBullet"/>
      </w:pPr>
      <w:r>
        <w:t>The organisation shall not exclude a material system, process, location, team, data type, or third-party dependency from the SOC 2 scope solely for convenience, lack of control maturity, lack of evidence, or anticipated audit difficulty.</w:t>
      </w:r>
    </w:p>
    <w:p>
      <w:pPr>
        <w:pStyle w:val="ListBullet"/>
      </w:pPr>
      <w:r>
        <w:t>The organisation shall document all scope exclusions and shall ensure each exclusion is supported by a clear rationale demonstrating that the excluded item does not materially affect the in-scope service or selected categories.</w:t>
      </w:r>
    </w:p>
    <w:p>
      <w:pPr>
        <w:pStyle w:val="ListBullet"/>
      </w:pPr>
      <w:r>
        <w:t>The organisation shall reassess SOC 2 scope when significant changes occur, including new products, new customer commitments, acquisitions, major architecture changes, migration to new hosting environments, new regulated data processing, new subprocessors, new regions, or material changes to service delivery.</w:t>
      </w:r>
    </w:p>
    <w:p>
      <w:pPr>
        <w:pStyle w:val="ListBullet"/>
      </w:pPr>
      <w:r>
        <w:t>The organisation shall ensure SOC 2 scope decisions are approved before the beginning of each examination period, unless a change during the period requires formal reapproval.</w:t>
      </w:r>
    </w:p>
    <w:p>
      <w:pPr>
        <w:pStyle w:val="ListBullet"/>
      </w:pPr>
      <w:r>
        <w:t>The organisation shall ensure that all controls mapped to the selected categories are implemented, owned, evidenced, monitored, and retained in a manner that supports the intended examination type and reporting period.</w:t>
      </w:r>
    </w:p>
    <w:p>
      <w:pPr>
        <w:pStyle w:val="ListBullet"/>
      </w:pPr>
      <w:r>
        <w:t>The organisation shall ensure that SOC 2 evidence is collected from authoritative sources and covers the full reporting period for recurring controls, population-based controls, access reviews, change management activities, incidents, vendor reviews, risk assessments, and privacy operations.</w:t>
      </w:r>
    </w:p>
    <w:p>
      <w:pPr>
        <w:pStyle w:val="ListBullet"/>
      </w:pPr>
      <w:r>
        <w:t>The organisation shall ensure that management’s description of the system does not overstate control coverage, service commitments, privacy practices, availability commitments, processing guarantees, or confidentiality protections.</w:t>
      </w:r>
    </w:p>
    <w:p>
      <w:pPr>
        <w:pStyle w:val="ListBullet"/>
      </w:pPr>
      <w:r>
        <w:t>The organisation shall ensure that customer contracts, service-level commitments, public security statements, privacy notices, data processing terms, support terms, and product documentation are reviewed for alignment with the selected SOC 2 categories.</w:t>
      </w:r>
    </w:p>
    <w:p>
      <w:pPr>
        <w:pStyle w:val="ListBullet"/>
      </w:pPr>
      <w:r>
        <w:t>The organisation shall ensure that privacy commitments included in SOC 2 scope are consistent with actual personal information practices, including notice, choice where applicable, collection, use, retention, disclosure, access, correction, deletion, and disposal.</w:t>
      </w:r>
    </w:p>
    <w:p>
      <w:pPr>
        <w:pStyle w:val="ListBullet"/>
      </w:pPr>
      <w:r>
        <w:t>The organisation shall ensure that availability commitments included in SOC 2 scope are supported by monitoring, alerting, incident response, backup, recovery, capacity management, and business continuity processes.</w:t>
      </w:r>
    </w:p>
    <w:p>
      <w:pPr>
        <w:pStyle w:val="ListBullet"/>
      </w:pPr>
      <w:r>
        <w:t>The organisation shall ensure that confidentiality commitments included in SOC 2 scope are supported by access controls, encryption, secure transmission, data classification, need-to-know access, secure disposal, and third-party confidentiality obligations.</w:t>
      </w:r>
    </w:p>
    <w:p>
      <w:pPr>
        <w:pStyle w:val="ListBullet"/>
      </w:pPr>
      <w:r>
        <w:t>The organisation shall ensure that processing integrity commitments included in SOC 2 scope are supported by controls over input validation, authorization, completeness checks, error handling, reconciliation, exception handling, processing monitoring, and output review where applicable.</w:t>
      </w:r>
    </w:p>
    <w:p>
      <w:pPr>
        <w:pStyle w:val="ListBullet"/>
      </w:pPr>
      <w:r>
        <w:t>The organisation shall ensure that Security controls apply across all selected categories and include governance, risk management, logical access, change management, secure development, vulnerability management, incident response, monitoring, endpoint security, network security, and vendor oversight as applicable to the in-scope service.</w:t>
      </w:r>
    </w:p>
    <w:p>
      <w:pPr>
        <w:pStyle w:val="ListBullet"/>
      </w:pPr>
      <w:r>
        <w:t>The organisation shall maintain traceability between selected categories, service commitments, system requirements, control objectives, control activities, evidence sources, control owners, and review frequencies.</w:t>
      </w:r>
    </w:p>
    <w:p>
      <w:pPr>
        <w:pStyle w:val="ListBullet"/>
      </w:pPr>
      <w:r>
        <w:t>The organisation shall communicate the approved SOC 2 scope and selected categories to relevant executives, control owners, engineering leaders, operations teams, support teams, privacy personnel, legal personnel, and vendor management personnel.</w:t>
      </w:r>
    </w:p>
    <w:p>
      <w:pPr>
        <w:pStyle w:val="ListBullet"/>
      </w:pPr>
      <w:r>
        <w:t>The organisation shall retain scope approval records, category selection rationale, scope diagrams, system descriptions, data flow documentation, third-party dependency lists, and related approvals in accordance with the organisation’s evidence retention requirements.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Executive Leadership</w:t>
            </w:r>
          </w:p>
        </w:tc>
        <w:tc>
          <w:tcPr>
            <w:tcW w:type="dxa" w:w="4320"/>
          </w:tcPr>
          <w:p>
            <w:r>
              <w:t>Provides oversight of the SOC 2 program, ensures adequate resources are available, and receives material updates on SOC 2 scope, readiness, exceptions, and examination outcomes.</w:t>
            </w:r>
          </w:p>
        </w:tc>
      </w:tr>
      <w:tr>
        <w:tc>
          <w:tcPr>
            <w:tcW w:type="dxa" w:w="4320"/>
          </w:tcPr>
          <w:p>
            <w:r>
              <w:t>Executive Sponsor</w:t>
            </w:r>
          </w:p>
        </w:tc>
        <w:tc>
          <w:tcPr>
            <w:tcW w:type="dxa" w:w="4320"/>
          </w:tcPr>
          <w:p>
            <w:r>
              <w:t>Approves the SOC 2 scope, selected categories, examination objectives, reporting period, and material scope changes. Resolves cross-functional issues affecting SOC 2 readiness or examination completion.</w:t>
            </w:r>
          </w:p>
        </w:tc>
      </w:tr>
      <w:tr>
        <w:tc>
          <w:tcPr>
            <w:tcW w:type="dxa" w:w="4320"/>
          </w:tcPr>
          <w:p>
            <w:r>
              <w:t>Compliance Owner / GRC Lead</w:t>
            </w:r>
          </w:p>
        </w:tc>
        <w:tc>
          <w:tcPr>
            <w:tcW w:type="dxa" w:w="4320"/>
          </w:tcPr>
          <w:p>
            <w:r>
              <w:t>Owns this Policy, coordinates SOC 2 scoping activities, maintains scope documentation, validates evidence expectations, coordinates with auditors, and monitors compliance with this Policy.</w:t>
            </w:r>
          </w:p>
        </w:tc>
      </w:tr>
      <w:tr>
        <w:tc>
          <w:tcPr>
            <w:tcW w:type="dxa" w:w="4320"/>
          </w:tcPr>
          <w:p>
            <w:r>
              <w:t>Service Owner</w:t>
            </w:r>
          </w:p>
        </w:tc>
        <w:tc>
          <w:tcPr>
            <w:tcW w:type="dxa" w:w="4320"/>
          </w:tcPr>
          <w:p>
            <w:r>
              <w:t>Confirms that the in-scope service description, service commitments, customer obligations, system requirements, and operational dependencies are accurate and complete.</w:t>
            </w:r>
          </w:p>
        </w:tc>
      </w:tr>
      <w:tr>
        <w:tc>
          <w:tcPr>
            <w:tcW w:type="dxa" w:w="4320"/>
          </w:tcPr>
          <w:p>
            <w:r>
              <w:t>Security Owner</w:t>
            </w:r>
          </w:p>
        </w:tc>
        <w:tc>
          <w:tcPr>
            <w:tcW w:type="dxa" w:w="4320"/>
          </w:tcPr>
          <w:p>
            <w:r>
              <w:t>Ensures security controls are designed, implemented, evidenced, and monitored across the in-scope service and supporting environments.</w:t>
            </w:r>
          </w:p>
        </w:tc>
      </w:tr>
      <w:tr>
        <w:tc>
          <w:tcPr>
            <w:tcW w:type="dxa" w:w="4320"/>
          </w:tcPr>
          <w:p>
            <w:r>
              <w:t>Infrastructure / Operations Owner</w:t>
            </w:r>
          </w:p>
        </w:tc>
        <w:tc>
          <w:tcPr>
            <w:tcW w:type="dxa" w:w="4320"/>
          </w:tcPr>
          <w:p>
            <w:r>
              <w:t>Maintains availability-related controls including monitoring, alerting, capacity management, backups, recovery, resilience, incident response support, and operational procedures.</w:t>
            </w:r>
          </w:p>
        </w:tc>
      </w:tr>
      <w:tr>
        <w:tc>
          <w:tcPr>
            <w:tcW w:type="dxa" w:w="4320"/>
          </w:tcPr>
          <w:p>
            <w:r>
              <w:t>Engineering Owner</w:t>
            </w:r>
          </w:p>
        </w:tc>
        <w:tc>
          <w:tcPr>
            <w:tcW w:type="dxa" w:w="4320"/>
          </w:tcPr>
          <w:p>
            <w:r>
              <w:t>Ensures application, development, deployment, code review, testing, processing integrity, and change management controls operate effectively for the in-scope service.</w:t>
            </w:r>
          </w:p>
        </w:tc>
      </w:tr>
      <w:tr>
        <w:tc>
          <w:tcPr>
            <w:tcW w:type="dxa" w:w="4320"/>
          </w:tcPr>
          <w:p>
            <w:r>
              <w:t>Privacy Owner</w:t>
            </w:r>
          </w:p>
        </w:tc>
        <w:tc>
          <w:tcPr>
            <w:tcW w:type="dxa" w:w="4320"/>
          </w:tcPr>
          <w:p>
            <w:r>
              <w:t>Ensures privacy practices, notices, personal information inventories, data subject request processes, retention practices, disclosure controls, and subprocessors are reflected accurately in SOC 2 scope.</w:t>
            </w:r>
          </w:p>
        </w:tc>
      </w:tr>
      <w:tr>
        <w:tc>
          <w:tcPr>
            <w:tcW w:type="dxa" w:w="4320"/>
          </w:tcPr>
          <w:p>
            <w:r>
              <w:t>Legal / Contract Owner</w:t>
            </w:r>
          </w:p>
        </w:tc>
        <w:tc>
          <w:tcPr>
            <w:tcW w:type="dxa" w:w="4320"/>
          </w:tcPr>
          <w:p>
            <w:r>
              <w:t>Reviews customer commitments, contractual obligations, confidentiality terms, data processing terms, privacy notices, and public statements for consistency with SOC 2 scope.</w:t>
            </w:r>
          </w:p>
        </w:tc>
      </w:tr>
      <w:tr>
        <w:tc>
          <w:tcPr>
            <w:tcW w:type="dxa" w:w="4320"/>
          </w:tcPr>
          <w:p>
            <w:r>
              <w:t>Vendor Management Owner</w:t>
            </w:r>
          </w:p>
        </w:tc>
        <w:tc>
          <w:tcPr>
            <w:tcW w:type="dxa" w:w="4320"/>
          </w:tcPr>
          <w:p>
            <w:r>
              <w:t>Maintains oversight of third-party providers and subprocessors that materially support the in-scope service, including due diligence, contracts, assurance reviews, and risk tracking.</w:t>
            </w:r>
          </w:p>
        </w:tc>
      </w:tr>
      <w:tr>
        <w:tc>
          <w:tcPr>
            <w:tcW w:type="dxa" w:w="4320"/>
          </w:tcPr>
          <w:p>
            <w:r>
              <w:t>Control Owners</w:t>
            </w:r>
          </w:p>
        </w:tc>
        <w:tc>
          <w:tcPr>
            <w:tcW w:type="dxa" w:w="4320"/>
          </w:tcPr>
          <w:p>
            <w:r>
              <w:t>Operate assigned controls, maintain evidence, remediate deficiencies, participate in readiness activities, and notify the Compliance Owner of control changes or failures.</w:t>
            </w:r>
          </w:p>
        </w:tc>
      </w:tr>
      <w:tr>
        <w:tc>
          <w:tcPr>
            <w:tcW w:type="dxa" w:w="4320"/>
          </w:tcPr>
          <w:p>
            <w:r>
              <w:t>Internal Audit or Independent Reviewer</w:t>
            </w:r>
          </w:p>
        </w:tc>
        <w:tc>
          <w:tcPr>
            <w:tcW w:type="dxa" w:w="4320"/>
          </w:tcPr>
          <w:p>
            <w:r>
              <w:t>Performs independent readiness reviews, control testing, or advisory reviews where assigned and reports findings to management.</w:t>
            </w:r>
          </w:p>
        </w:tc>
      </w:tr>
      <w:tr>
        <w:tc>
          <w:tcPr>
            <w:tcW w:type="dxa" w:w="4320"/>
          </w:tcPr>
          <w:p>
            <w:r>
              <w:t>All Personnel Supporting the In-Scope Service</w:t>
            </w:r>
          </w:p>
        </w:tc>
        <w:tc>
          <w:tcPr>
            <w:tcW w:type="dxa" w:w="4320"/>
          </w:tcPr>
          <w:p>
            <w:r>
              <w:t>Comply with applicable SOC 2 control requirements, protect in-scope data and systems, complete assigned training, follow approved processes, and report issues promptly.</w:t>
            </w:r>
          </w:p>
        </w:tc>
      </w:tr>
    </w:tbl>
    <w:p>
      <w:r>
        <w:t>The following approval authorities shall apply to SOC 2 scope decisions:</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Required Approver</w:t>
            </w:r>
          </w:p>
        </w:tc>
      </w:tr>
      <w:tr>
        <w:tc>
          <w:tcPr>
            <w:tcW w:type="dxa" w:w="4320"/>
          </w:tcPr>
          <w:p>
            <w:r>
              <w:t>Initial SOC 2 scope approval</w:t>
            </w:r>
          </w:p>
        </w:tc>
        <w:tc>
          <w:tcPr>
            <w:tcW w:type="dxa" w:w="4320"/>
          </w:tcPr>
          <w:p>
            <w:r>
              <w:t>Executive Sponsor and Compliance Owner</w:t>
            </w:r>
          </w:p>
        </w:tc>
      </w:tr>
      <w:tr>
        <w:tc>
          <w:tcPr>
            <w:tcW w:type="dxa" w:w="4320"/>
          </w:tcPr>
          <w:p>
            <w:r>
              <w:t>Selection of Trust Services categories</w:t>
            </w:r>
          </w:p>
        </w:tc>
        <w:tc>
          <w:tcPr>
            <w:tcW w:type="dxa" w:w="4320"/>
          </w:tcPr>
          <w:p>
            <w:r>
              <w:t>Executive Sponsor, Compliance Owner, Service Owner, and relevant category owners</w:t>
            </w:r>
          </w:p>
        </w:tc>
      </w:tr>
      <w:tr>
        <w:tc>
          <w:tcPr>
            <w:tcW w:type="dxa" w:w="4320"/>
          </w:tcPr>
          <w:p>
            <w:r>
              <w:t>Addition of a material system or service</w:t>
            </w:r>
          </w:p>
        </w:tc>
        <w:tc>
          <w:tcPr>
            <w:tcW w:type="dxa" w:w="4320"/>
          </w:tcPr>
          <w:p>
            <w:r>
              <w:t>Compliance Owner and Service Owner</w:t>
            </w:r>
          </w:p>
        </w:tc>
      </w:tr>
      <w:tr>
        <w:tc>
          <w:tcPr>
            <w:tcW w:type="dxa" w:w="4320"/>
          </w:tcPr>
          <w:p>
            <w:r>
              <w:t>Removal or exclusion of a material system or service</w:t>
            </w:r>
          </w:p>
        </w:tc>
        <w:tc>
          <w:tcPr>
            <w:tcW w:type="dxa" w:w="4320"/>
          </w:tcPr>
          <w:p>
            <w:r>
              <w:t>Executive Sponsor and Compliance Owner</w:t>
            </w:r>
          </w:p>
        </w:tc>
      </w:tr>
      <w:tr>
        <w:tc>
          <w:tcPr>
            <w:tcW w:type="dxa" w:w="4320"/>
          </w:tcPr>
          <w:p>
            <w:r>
              <w:t>Addition or removal of a material third-party provider</w:t>
            </w:r>
          </w:p>
        </w:tc>
        <w:tc>
          <w:tcPr>
            <w:tcW w:type="dxa" w:w="4320"/>
          </w:tcPr>
          <w:p>
            <w:r>
              <w:t>Compliance Owner, Vendor Management Owner, and Service Owner</w:t>
            </w:r>
          </w:p>
        </w:tc>
      </w:tr>
      <w:tr>
        <w:tc>
          <w:tcPr>
            <w:tcW w:type="dxa" w:w="4320"/>
          </w:tcPr>
          <w:p>
            <w:r>
              <w:t>Material change to service commitments</w:t>
            </w:r>
          </w:p>
        </w:tc>
        <w:tc>
          <w:tcPr>
            <w:tcW w:type="dxa" w:w="4320"/>
          </w:tcPr>
          <w:p>
            <w:r>
              <w:t>Executive Sponsor, Service Owner, Legal Owner, and Compliance Owner</w:t>
            </w:r>
          </w:p>
        </w:tc>
      </w:tr>
      <w:tr>
        <w:tc>
          <w:tcPr>
            <w:tcW w:type="dxa" w:w="4320"/>
          </w:tcPr>
          <w:p>
            <w:r>
              <w:t>Material privacy scope change</w:t>
            </w:r>
          </w:p>
        </w:tc>
        <w:tc>
          <w:tcPr>
            <w:tcW w:type="dxa" w:w="4320"/>
          </w:tcPr>
          <w:p>
            <w:r>
              <w:t>Privacy Owner, Legal Owner, and Compliance Owner</w:t>
            </w:r>
          </w:p>
        </w:tc>
      </w:tr>
      <w:tr>
        <w:tc>
          <w:tcPr>
            <w:tcW w:type="dxa" w:w="4320"/>
          </w:tcPr>
          <w:p>
            <w:r>
              <w:t>Examination period confirmation</w:t>
            </w:r>
          </w:p>
        </w:tc>
        <w:tc>
          <w:tcPr>
            <w:tcW w:type="dxa" w:w="4320"/>
          </w:tcPr>
          <w:p>
            <w:r>
              <w:t>Executive Sponsor and Compliance Owner</w:t>
            </w:r>
          </w:p>
        </w:tc>
      </w:tr>
    </w:tbl>
    <w:p>
      <w:pPr>
        <w:pStyle w:val="Heading2"/>
      </w:pPr>
      <w:r>
        <w:t>Compliance, Monitoring &amp; Enforcement</w:t>
      </w:r>
    </w:p>
    <w:p>
      <w:r>
        <w:t>Compliance with this Policy is mandatory for all personnel and third parties supporting the in-scope SOC 2 service.</w:t>
      </w:r>
    </w:p>
    <w:p>
      <w:r>
        <w:t>The organisation shall monitor compliance through periodic governance reviews, readiness assessments, control owner attestations, evidence reviews, risk assessments, internal audits, vendor reviews, management reviews, and external examination activities.</w:t>
      </w:r>
    </w:p>
    <w:p>
      <w:r>
        <w:t>At a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Expected Output</w:t>
            </w:r>
          </w:p>
        </w:tc>
      </w:tr>
      <w:tr>
        <w:tc>
          <w:tcPr>
            <w:tcW w:type="dxa" w:w="2160"/>
          </w:tcPr>
          <w:p>
            <w:r>
              <w:t>SOC 2 scope review</w:t>
            </w:r>
          </w:p>
        </w:tc>
        <w:tc>
          <w:tcPr>
            <w:tcW w:type="dxa" w:w="2160"/>
          </w:tcPr>
          <w:p>
            <w:r>
              <w:t>At least annually and before each examination period</w:t>
            </w:r>
          </w:p>
        </w:tc>
        <w:tc>
          <w:tcPr>
            <w:tcW w:type="dxa" w:w="2160"/>
          </w:tcPr>
          <w:p>
            <w:r>
              <w:t>Compliance Owner</w:t>
            </w:r>
          </w:p>
        </w:tc>
        <w:tc>
          <w:tcPr>
            <w:tcW w:type="dxa" w:w="2160"/>
          </w:tcPr>
          <w:p>
            <w:r>
              <w:t>Approved scope record and category selection rationale</w:t>
            </w:r>
          </w:p>
        </w:tc>
      </w:tr>
      <w:tr>
        <w:tc>
          <w:tcPr>
            <w:tcW w:type="dxa" w:w="2160"/>
          </w:tcPr>
          <w:p>
            <w:r>
              <w:t>Service commitment review</w:t>
            </w:r>
          </w:p>
        </w:tc>
        <w:tc>
          <w:tcPr>
            <w:tcW w:type="dxa" w:w="2160"/>
          </w:tcPr>
          <w:p>
            <w:r>
              <w:t>At least annually and upon material contract or product change</w:t>
            </w:r>
          </w:p>
        </w:tc>
        <w:tc>
          <w:tcPr>
            <w:tcW w:type="dxa" w:w="2160"/>
          </w:tcPr>
          <w:p>
            <w:r>
              <w:t>Service Owner, Legal Owner, Compliance Owner</w:t>
            </w:r>
          </w:p>
        </w:tc>
        <w:tc>
          <w:tcPr>
            <w:tcW w:type="dxa" w:w="2160"/>
          </w:tcPr>
          <w:p>
            <w:r>
              <w:t>Updated service commitments and system requirements</w:t>
            </w:r>
          </w:p>
        </w:tc>
      </w:tr>
      <w:tr>
        <w:tc>
          <w:tcPr>
            <w:tcW w:type="dxa" w:w="2160"/>
          </w:tcPr>
          <w:p>
            <w:r>
              <w:t>System inventory review</w:t>
            </w:r>
          </w:p>
        </w:tc>
        <w:tc>
          <w:tcPr>
            <w:tcW w:type="dxa" w:w="2160"/>
          </w:tcPr>
          <w:p>
            <w:r>
              <w:t>Quarterly</w:t>
            </w:r>
          </w:p>
        </w:tc>
        <w:tc>
          <w:tcPr>
            <w:tcW w:type="dxa" w:w="2160"/>
          </w:tcPr>
          <w:p>
            <w:r>
              <w:t>Technical Owner, Security Owner</w:t>
            </w:r>
          </w:p>
        </w:tc>
        <w:tc>
          <w:tcPr>
            <w:tcW w:type="dxa" w:w="2160"/>
          </w:tcPr>
          <w:p>
            <w:r>
              <w:t>Updated in-scope system inventory</w:t>
            </w:r>
          </w:p>
        </w:tc>
      </w:tr>
      <w:tr>
        <w:tc>
          <w:tcPr>
            <w:tcW w:type="dxa" w:w="2160"/>
          </w:tcPr>
          <w:p>
            <w:r>
              <w:t>Data flow and data type review</w:t>
            </w:r>
          </w:p>
        </w:tc>
        <w:tc>
          <w:tcPr>
            <w:tcW w:type="dxa" w:w="2160"/>
          </w:tcPr>
          <w:p>
            <w:r>
              <w:t>At least annually and upon material architecture change</w:t>
            </w:r>
          </w:p>
        </w:tc>
        <w:tc>
          <w:tcPr>
            <w:tcW w:type="dxa" w:w="2160"/>
          </w:tcPr>
          <w:p>
            <w:r>
              <w:t>Privacy Owner, Security Owner, Engineering Owner</w:t>
            </w:r>
          </w:p>
        </w:tc>
        <w:tc>
          <w:tcPr>
            <w:tcW w:type="dxa" w:w="2160"/>
          </w:tcPr>
          <w:p>
            <w:r>
              <w:t>Updated data inventory and data flow documentation</w:t>
            </w:r>
          </w:p>
        </w:tc>
      </w:tr>
      <w:tr>
        <w:tc>
          <w:tcPr>
            <w:tcW w:type="dxa" w:w="2160"/>
          </w:tcPr>
          <w:p>
            <w:r>
              <w:t>Third-party dependency review</w:t>
            </w:r>
          </w:p>
        </w:tc>
        <w:tc>
          <w:tcPr>
            <w:tcW w:type="dxa" w:w="2160"/>
          </w:tcPr>
          <w:p>
            <w:r>
              <w:t>At least annually and upon onboarding or material change</w:t>
            </w:r>
          </w:p>
        </w:tc>
        <w:tc>
          <w:tcPr>
            <w:tcW w:type="dxa" w:w="2160"/>
          </w:tcPr>
          <w:p>
            <w:r>
              <w:t>Vendor Management Owner</w:t>
            </w:r>
          </w:p>
        </w:tc>
        <w:tc>
          <w:tcPr>
            <w:tcW w:type="dxa" w:w="2160"/>
          </w:tcPr>
          <w:p>
            <w:r>
              <w:t>Updated vendor list and assurance status</w:t>
            </w:r>
          </w:p>
        </w:tc>
      </w:tr>
      <w:tr>
        <w:tc>
          <w:tcPr>
            <w:tcW w:type="dxa" w:w="2160"/>
          </w:tcPr>
          <w:p>
            <w:r>
              <w:t>Control ownership review</w:t>
            </w:r>
          </w:p>
        </w:tc>
        <w:tc>
          <w:tcPr>
            <w:tcW w:type="dxa" w:w="2160"/>
          </w:tcPr>
          <w:p>
            <w:r>
              <w:t>Quarterly</w:t>
            </w:r>
          </w:p>
        </w:tc>
        <w:tc>
          <w:tcPr>
            <w:tcW w:type="dxa" w:w="2160"/>
          </w:tcPr>
          <w:p>
            <w:r>
              <w:t>Compliance Owner</w:t>
            </w:r>
          </w:p>
        </w:tc>
        <w:tc>
          <w:tcPr>
            <w:tcW w:type="dxa" w:w="2160"/>
          </w:tcPr>
          <w:p>
            <w:r>
              <w:t>Updated control owner register</w:t>
            </w:r>
          </w:p>
        </w:tc>
      </w:tr>
      <w:tr>
        <w:tc>
          <w:tcPr>
            <w:tcW w:type="dxa" w:w="2160"/>
          </w:tcPr>
          <w:p>
            <w:r>
              <w:t>Evidence completeness review</w:t>
            </w:r>
          </w:p>
        </w:tc>
        <w:tc>
          <w:tcPr>
            <w:tcW w:type="dxa" w:w="2160"/>
          </w:tcPr>
          <w:p>
            <w:r>
              <w:t>Monthly during readiness and examination periods</w:t>
            </w:r>
          </w:p>
        </w:tc>
        <w:tc>
          <w:tcPr>
            <w:tcW w:type="dxa" w:w="2160"/>
          </w:tcPr>
          <w:p>
            <w:r>
              <w:t>Compliance Owner</w:t>
            </w:r>
          </w:p>
        </w:tc>
        <w:tc>
          <w:tcPr>
            <w:tcW w:type="dxa" w:w="2160"/>
          </w:tcPr>
          <w:p>
            <w:r>
              <w:t>Evidence status report and remediation tracker</w:t>
            </w:r>
          </w:p>
        </w:tc>
      </w:tr>
      <w:tr>
        <w:tc>
          <w:tcPr>
            <w:tcW w:type="dxa" w:w="2160"/>
          </w:tcPr>
          <w:p>
            <w:r>
              <w:t>Scope change review</w:t>
            </w:r>
          </w:p>
        </w:tc>
        <w:tc>
          <w:tcPr>
            <w:tcW w:type="dxa" w:w="2160"/>
          </w:tcPr>
          <w:p>
            <w:r>
              <w:t>Upon trigger event</w:t>
            </w:r>
          </w:p>
        </w:tc>
        <w:tc>
          <w:tcPr>
            <w:tcW w:type="dxa" w:w="2160"/>
          </w:tcPr>
          <w:p>
            <w:r>
              <w:t>Compliance Owner and affected owners</w:t>
            </w:r>
          </w:p>
        </w:tc>
        <w:tc>
          <w:tcPr>
            <w:tcW w:type="dxa" w:w="2160"/>
          </w:tcPr>
          <w:p>
            <w:r>
              <w:t>Approved or rejected scope change decision</w:t>
            </w:r>
          </w:p>
        </w:tc>
      </w:tr>
      <w:tr>
        <w:tc>
          <w:tcPr>
            <w:tcW w:type="dxa" w:w="2160"/>
          </w:tcPr>
          <w:p>
            <w:r>
              <w:t>Management review of SOC 2 readiness</w:t>
            </w:r>
          </w:p>
        </w:tc>
        <w:tc>
          <w:tcPr>
            <w:tcW w:type="dxa" w:w="2160"/>
          </w:tcPr>
          <w:p>
            <w:r>
              <w:t>At least quarterly during active examination preparation</w:t>
            </w:r>
          </w:p>
        </w:tc>
        <w:tc>
          <w:tcPr>
            <w:tcW w:type="dxa" w:w="2160"/>
          </w:tcPr>
          <w:p>
            <w:r>
              <w:t>Executive Sponsor and Compliance Owner</w:t>
            </w:r>
          </w:p>
        </w:tc>
        <w:tc>
          <w:tcPr>
            <w:tcW w:type="dxa" w:w="2160"/>
          </w:tcPr>
          <w:p>
            <w:r>
              <w:t>Management review minutes and action items</w:t>
            </w:r>
          </w:p>
        </w:tc>
      </w:tr>
    </w:tbl>
    <w:p>
      <w:r>
        <w:t>Non-compliance with this Policy may result in corrective action, management escalation, remediation plans, disciplinary action, contract remedies, suspension of access, vendor remediation requirements, or other actions permitted by organisational policy and applicable agreements.</w:t>
      </w:r>
    </w:p>
    <w:p>
      <w:r>
        <w:t>Material issues that may affect SOC 2 scope, control operation, examination readiness, or management’s assertion shall be escalated to the Executive Sponsor and Compliance Owner without undue delay.</w:t>
      </w:r>
    </w:p>
    <w:p>
      <w:r>
        <w:t>Examples of material issues include:</w:t>
      </w:r>
    </w:p>
    <w:p>
      <w:pPr>
        <w:pStyle w:val="ListBullet"/>
      </w:pPr>
      <w:r>
        <w:t>Discovery of an unscoped system that stores or processes in-scope customer data.</w:t>
      </w:r>
    </w:p>
    <w:p>
      <w:pPr>
        <w:pStyle w:val="ListBullet"/>
      </w:pPr>
      <w:r>
        <w:t>Use of an unapproved third-party provider supporting the in-scope service.</w:t>
      </w:r>
    </w:p>
    <w:p>
      <w:pPr>
        <w:pStyle w:val="ListBullet"/>
      </w:pPr>
      <w:r>
        <w:t>A material service outage affecting availability commitments.</w:t>
      </w:r>
    </w:p>
    <w:p>
      <w:pPr>
        <w:pStyle w:val="ListBullet"/>
      </w:pPr>
      <w:r>
        <w:t>A security incident affecting customer data, confidential information, or personal information.</w:t>
      </w:r>
    </w:p>
    <w:p>
      <w:pPr>
        <w:pStyle w:val="ListBullet"/>
      </w:pPr>
      <w:r>
        <w:t>A significant change to data processing activities or privacy commitments.</w:t>
      </w:r>
    </w:p>
    <w:p>
      <w:pPr>
        <w:pStyle w:val="ListBullet"/>
      </w:pPr>
      <w:r>
        <w:t>Inability to provide evidence for a key control during the reporting period.</w:t>
      </w:r>
    </w:p>
    <w:p>
      <w:pPr>
        <w:pStyle w:val="ListBullet"/>
      </w:pPr>
      <w:r>
        <w:t>A material change in product architecture or hosting environment.</w:t>
      </w:r>
    </w:p>
    <w:p>
      <w:pPr>
        <w:pStyle w:val="ListBullet"/>
      </w:pPr>
      <w:r>
        <w:t>A mismatch between customer commitments and actual control coverage.</w:t>
      </w:r>
    </w:p>
    <w:p>
      <w:pPr>
        <w:pStyle w:val="Heading2"/>
      </w:pPr>
      <w:r>
        <w:t>Exceptions</w:t>
      </w:r>
    </w:p>
    <w:p>
      <w:r>
        <w:t>Exceptions to this Policy shall be permitted only where there is a documented business need, risk assessment, compensating control plan, defined owner, and approved time-bound remediation or acceptance decision.</w:t>
      </w:r>
    </w:p>
    <w:p>
      <w:r>
        <w:t>Exceptions shall not be used to misrepresent SOC 2 scope, exclude material risks without justification, avoid required controls, or conceal control deficiencies from management or external examiners.</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Exception ID</w:t>
            </w:r>
          </w:p>
        </w:tc>
        <w:tc>
          <w:tcPr>
            <w:tcW w:type="dxa" w:w="4320"/>
          </w:tcPr>
          <w:p>
            <w:r>
              <w:t>Unique identifier assigned by the Compliance Owner</w:t>
            </w:r>
          </w:p>
        </w:tc>
      </w:tr>
      <w:tr>
        <w:tc>
          <w:tcPr>
            <w:tcW w:type="dxa" w:w="4320"/>
          </w:tcPr>
          <w:p>
            <w:r>
              <w:t>Requestor</w:t>
            </w:r>
          </w:p>
        </w:tc>
        <w:tc>
          <w:tcPr>
            <w:tcW w:type="dxa" w:w="4320"/>
          </w:tcPr>
          <w:p>
            <w:r>
              <w:t>Individual requesting the exception</w:t>
            </w:r>
          </w:p>
        </w:tc>
      </w:tr>
      <w:tr>
        <w:tc>
          <w:tcPr>
            <w:tcW w:type="dxa" w:w="4320"/>
          </w:tcPr>
          <w:p>
            <w:r>
              <w:t>Business Owner</w:t>
            </w:r>
          </w:p>
        </w:tc>
        <w:tc>
          <w:tcPr>
            <w:tcW w:type="dxa" w:w="4320"/>
          </w:tcPr>
          <w:p>
            <w:r>
              <w:t>Accountable owner for the affected service, process, or system</w:t>
            </w:r>
          </w:p>
        </w:tc>
      </w:tr>
      <w:tr>
        <w:tc>
          <w:tcPr>
            <w:tcW w:type="dxa" w:w="4320"/>
          </w:tcPr>
          <w:p>
            <w:r>
              <w:t>Description</w:t>
            </w:r>
          </w:p>
        </w:tc>
        <w:tc>
          <w:tcPr>
            <w:tcW w:type="dxa" w:w="4320"/>
          </w:tcPr>
          <w:p>
            <w:r>
              <w:t>Clear explanation of the requested exception</w:t>
            </w:r>
          </w:p>
        </w:tc>
      </w:tr>
      <w:tr>
        <w:tc>
          <w:tcPr>
            <w:tcW w:type="dxa" w:w="4320"/>
          </w:tcPr>
          <w:p>
            <w:r>
              <w:t>Affected SOC 2 Category</w:t>
            </w:r>
          </w:p>
        </w:tc>
        <w:tc>
          <w:tcPr>
            <w:tcW w:type="dxa" w:w="4320"/>
          </w:tcPr>
          <w:p>
            <w:r>
              <w:t>Security, Availability, Confidentiality, Processing Integrity, Privacy, or multiple categories</w:t>
            </w:r>
          </w:p>
        </w:tc>
      </w:tr>
      <w:tr>
        <w:tc>
          <w:tcPr>
            <w:tcW w:type="dxa" w:w="4320"/>
          </w:tcPr>
          <w:p>
            <w:r>
              <w:t>Affected System or Process</w:t>
            </w:r>
          </w:p>
        </w:tc>
        <w:tc>
          <w:tcPr>
            <w:tcW w:type="dxa" w:w="4320"/>
          </w:tcPr>
          <w:p>
            <w:r>
              <w:t>System, service, process, vendor, location, or data type impacted</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Potential impact to customers, service commitments, systems, data, compliance, and examination readiness</w:t>
            </w:r>
          </w:p>
        </w:tc>
      </w:tr>
      <w:tr>
        <w:tc>
          <w:tcPr>
            <w:tcW w:type="dxa" w:w="4320"/>
          </w:tcPr>
          <w:p>
            <w:r>
              <w:t>Compensating Controls</w:t>
            </w:r>
          </w:p>
        </w:tc>
        <w:tc>
          <w:tcPr>
            <w:tcW w:type="dxa" w:w="4320"/>
          </w:tcPr>
          <w:p>
            <w:r>
              <w:t>Controls that reduce the risk while the exception is active</w:t>
            </w:r>
          </w:p>
        </w:tc>
      </w:tr>
      <w:tr>
        <w:tc>
          <w:tcPr>
            <w:tcW w:type="dxa" w:w="4320"/>
          </w:tcPr>
          <w:p>
            <w:r>
              <w:t>Remediation Plan</w:t>
            </w:r>
          </w:p>
        </w:tc>
        <w:tc>
          <w:tcPr>
            <w:tcW w:type="dxa" w:w="4320"/>
          </w:tcPr>
          <w:p>
            <w:r>
              <w:t>Actions required to eliminate the exception or reduce the risk</w:t>
            </w:r>
          </w:p>
        </w:tc>
      </w:tr>
      <w:tr>
        <w:tc>
          <w:tcPr>
            <w:tcW w:type="dxa" w:w="4320"/>
          </w:tcPr>
          <w:p>
            <w:r>
              <w:t>Expiration Date</w:t>
            </w:r>
          </w:p>
        </w:tc>
        <w:tc>
          <w:tcPr>
            <w:tcW w:type="dxa" w:w="4320"/>
          </w:tcPr>
          <w:p>
            <w:r>
              <w:t>Date by which the exception must be resolved or reapproved</w:t>
            </w:r>
          </w:p>
        </w:tc>
      </w:tr>
      <w:tr>
        <w:tc>
          <w:tcPr>
            <w:tcW w:type="dxa" w:w="4320"/>
          </w:tcPr>
          <w:p>
            <w:r>
              <w:t>Required Approval</w:t>
            </w:r>
          </w:p>
        </w:tc>
        <w:tc>
          <w:tcPr>
            <w:tcW w:type="dxa" w:w="4320"/>
          </w:tcPr>
          <w:p>
            <w:r>
              <w:t>Appropriate approval based on risk and scope impact</w:t>
            </w:r>
          </w:p>
        </w:tc>
      </w:tr>
    </w:tbl>
    <w:p>
      <w:r>
        <w:t>Exception approval shall follow this authority model:</w:t>
      </w:r>
    </w:p>
    <w:tbl>
      <w:tblPr>
        <w:tblStyle w:val="TableGrid"/>
        <w:tblW w:type="auto" w:w="0"/>
        <w:tblLook w:firstColumn="1" w:firstRow="1" w:lastColumn="0" w:lastRow="0" w:noHBand="0" w:noVBand="1" w:val="04A0"/>
      </w:tblPr>
      <w:tblGrid>
        <w:gridCol w:w="4320"/>
        <w:gridCol w:w="4320"/>
      </w:tblGrid>
      <w:tr>
        <w:tc>
          <w:tcPr>
            <w:tcW w:type="dxa" w:w="4320"/>
          </w:tcPr>
          <w:p>
            <w:r>
              <w:t>Exception Risk Level</w:t>
            </w:r>
          </w:p>
        </w:tc>
        <w:tc>
          <w:tcPr>
            <w:tcW w:type="dxa" w:w="4320"/>
          </w:tcPr>
          <w:p>
            <w:r>
              <w:t>Required Approval</w:t>
            </w:r>
          </w:p>
        </w:tc>
      </w:tr>
      <w:tr>
        <w:tc>
          <w:tcPr>
            <w:tcW w:type="dxa" w:w="4320"/>
          </w:tcPr>
          <w:p>
            <w:r>
              <w:t>Low</w:t>
            </w:r>
          </w:p>
        </w:tc>
        <w:tc>
          <w:tcPr>
            <w:tcW w:type="dxa" w:w="4320"/>
          </w:tcPr>
          <w:p>
            <w:r>
              <w:t>Compliance Owner and relevant Control Owner</w:t>
            </w:r>
          </w:p>
        </w:tc>
      </w:tr>
      <w:tr>
        <w:tc>
          <w:tcPr>
            <w:tcW w:type="dxa" w:w="4320"/>
          </w:tcPr>
          <w:p>
            <w:r>
              <w:t>Medium</w:t>
            </w:r>
          </w:p>
        </w:tc>
        <w:tc>
          <w:tcPr>
            <w:tcW w:type="dxa" w:w="4320"/>
          </w:tcPr>
          <w:p>
            <w:r>
              <w:t>Compliance Owner, Service Owner, and relevant category owner</w:t>
            </w:r>
          </w:p>
        </w:tc>
      </w:tr>
      <w:tr>
        <w:tc>
          <w:tcPr>
            <w:tcW w:type="dxa" w:w="4320"/>
          </w:tcPr>
          <w:p>
            <w:r>
              <w:t>High</w:t>
            </w:r>
          </w:p>
        </w:tc>
        <w:tc>
          <w:tcPr>
            <w:tcW w:type="dxa" w:w="4320"/>
          </w:tcPr>
          <w:p>
            <w:r>
              <w:t>Executive Sponsor, Compliance Owner, Service Owner, and relevant category owner</w:t>
            </w:r>
          </w:p>
        </w:tc>
      </w:tr>
      <w:tr>
        <w:tc>
          <w:tcPr>
            <w:tcW w:type="dxa" w:w="4320"/>
          </w:tcPr>
          <w:p>
            <w:r>
              <w:t>Critical or customer-impacting</w:t>
            </w:r>
          </w:p>
        </w:tc>
        <w:tc>
          <w:tcPr>
            <w:tcW w:type="dxa" w:w="4320"/>
          </w:tcPr>
          <w:p>
            <w:r>
              <w:t>Executive Sponsor, Legal Owner, Compliance Owner, and applicable senior leadership</w:t>
            </w:r>
          </w:p>
        </w:tc>
      </w:tr>
    </w:tbl>
    <w:p>
      <w:r>
        <w:t>Approved exceptions shall be tracked to closure. Expired exceptions shall be treated as non-compliance unless formally reapproved before expiration.</w:t>
      </w:r>
    </w:p>
    <w:p>
      <w:r>
        <w:t>The Compliance Owner shall maintain the exception register and shall report material exceptions to the Executive Sponsor during management review.</w:t>
      </w:r>
    </w:p>
    <w:p>
      <w:pPr>
        <w:pStyle w:val="Heading2"/>
      </w:pPr>
      <w:r>
        <w:t>Review &amp; Maintenance</w:t>
      </w:r>
    </w:p>
    <w:p>
      <w:r>
        <w:t>This Policy shall be reviewed at least annually and whenever a material change occurs that could affect SOC 2 scope, selected categories, service commitments, system boundaries, data processing, third-party dependencies, or control responsibilities.</w:t>
      </w:r>
    </w:p>
    <w:p>
      <w:r>
        <w:t>Material change events include, but are not limited to:</w:t>
      </w:r>
    </w:p>
    <w:p>
      <w:pPr>
        <w:pStyle w:val="ListBullet"/>
      </w:pPr>
      <w:r>
        <w:t>Launch of a new product, module, service, region, or customer-facing capability.</w:t>
      </w:r>
    </w:p>
    <w:p>
      <w:pPr>
        <w:pStyle w:val="ListBullet"/>
      </w:pPr>
      <w:r>
        <w:t>Expansion into new customer segments or regulated industries.</w:t>
      </w:r>
    </w:p>
    <w:p>
      <w:pPr>
        <w:pStyle w:val="ListBullet"/>
      </w:pPr>
      <w:r>
        <w:t>Introduction of new personal information processing activities.</w:t>
      </w:r>
    </w:p>
    <w:p>
      <w:pPr>
        <w:pStyle w:val="ListBullet"/>
      </w:pPr>
      <w:r>
        <w:t>New or changed availability, confidentiality, processing, security, or privacy commitments.</w:t>
      </w:r>
    </w:p>
    <w:p>
      <w:pPr>
        <w:pStyle w:val="ListBullet"/>
      </w:pPr>
      <w:r>
        <w:t>Material architecture redesign, cloud migration, or infrastructure change.</w:t>
      </w:r>
    </w:p>
    <w:p>
      <w:pPr>
        <w:pStyle w:val="ListBullet"/>
      </w:pPr>
      <w:r>
        <w:t>Acquisition, divestiture, or organisational restructuring.</w:t>
      </w:r>
    </w:p>
    <w:p>
      <w:pPr>
        <w:pStyle w:val="ListBullet"/>
      </w:pPr>
      <w:r>
        <w:t>Onboarding or offboarding of a material third-party provider or subprocessor.</w:t>
      </w:r>
    </w:p>
    <w:p>
      <w:pPr>
        <w:pStyle w:val="ListBullet"/>
      </w:pPr>
      <w:r>
        <w:t>Significant incident, outage, breach, or privacy event.</w:t>
      </w:r>
    </w:p>
    <w:p>
      <w:pPr>
        <w:pStyle w:val="ListBullet"/>
      </w:pPr>
      <w:r>
        <w:t>Auditor feedback indicating scope ambiguity or incomplete documentation.</w:t>
      </w:r>
    </w:p>
    <w:p>
      <w:pPr>
        <w:pStyle w:val="ListBullet"/>
      </w:pPr>
      <w:r>
        <w:t>Management decision to change examination type or reporting period.</w:t>
      </w:r>
    </w:p>
    <w:p>
      <w:r>
        <w:t>The Compliance Owner shall be responsible for maintaining this Policy, coordinating stakeholder review, updating scope records, and ensuring approved changes are communicated to relevant personnel.</w:t>
      </w:r>
    </w:p>
    <w:p>
      <w:r>
        <w:t>Policy changes shall be approved by the Executive Sponsor and Compliance Owner. Changes affecting privacy commitments shall also be reviewed by the Privacy Owner and Legal Owner. Changes affecting customer contractual commitments shall also be reviewed by the Legal Owner and Service Owner.</w:t>
      </w:r>
    </w:p>
    <w:p>
      <w:r>
        <w:t>The organisation shall maintain version history for this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version</w:t>
            </w:r>
          </w:p>
        </w:tc>
        <w:tc>
          <w:tcPr>
            <w:tcW w:type="dxa" w:w="1728"/>
          </w:tcPr>
          <w:p>
            <w:r>
              <w:t>[Author Name]</w:t>
            </w:r>
          </w:p>
        </w:tc>
        <w:tc>
          <w:tcPr>
            <w:tcW w:type="dxa" w:w="1728"/>
          </w:tcPr>
          <w:p>
            <w:r>
              <w:t>[Approver Name]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