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Logging &amp; Monitoring Configurations</w:t>
      </w:r>
    </w:p>
    <w:p>
      <w:pPr>
        <w:pStyle w:val="Heading2"/>
      </w:pPr>
      <w:r>
        <w:t>What This Evidences</w:t>
      </w:r>
    </w:p>
    <w:p>
      <w:r>
        <w:t>Logging &amp; Monitoring Configurations evidence demonstrates that the organisation has configured logging, monitoring, alerting, and retention mechanisms to detect, analyse, and respond to security events in support of SOC 2 CC7.2.</w:t>
      </w:r>
    </w:p>
    <w:p>
      <w:r>
        <w:t>This artifact is collected from operational systems, not authored as a standalone document. It should be exported or captured directly from the organisation’s logging, SIEM, monitoring, cloud, endpoint, or infrastructure platforms.</w:t>
      </w:r>
    </w:p>
    <w:p>
      <w:r>
        <w:t>The evidence should show that relevant security events are being ingested, monitored through defined rules or alerts, retained for an appropriate period, and available for investigation.</w:t>
      </w:r>
    </w:p>
    <w:p>
      <w:pPr>
        <w:pStyle w:val="Heading2"/>
      </w:pPr>
      <w:r>
        <w:t>Where To Collect It From</w:t>
      </w:r>
    </w:p>
    <w:p>
      <w:r>
        <w:t>Collect this evidence from the systems used to manage logs, alerts, and monitoring, such as:</w:t>
      </w:r>
    </w:p>
    <w:p>
      <w:pPr>
        <w:pStyle w:val="ListBullet"/>
      </w:pPr>
      <w:r>
        <w:t>SIEM or log management platform: [SIEM/log platform name]</w:t>
      </w:r>
    </w:p>
    <w:p>
      <w:pPr>
        <w:pStyle w:val="ListBullet"/>
      </w:pPr>
      <w:r>
        <w:t>Cloud logging and monitoring services: [cloud provider logging service]</w:t>
      </w:r>
    </w:p>
    <w:p>
      <w:pPr>
        <w:pStyle w:val="ListBullet"/>
      </w:pPr>
      <w:r>
        <w:t>Endpoint detection and response platform: [EDR tool name]</w:t>
      </w:r>
    </w:p>
    <w:p>
      <w:pPr>
        <w:pStyle w:val="ListBullet"/>
      </w:pPr>
      <w:r>
        <w:t>Infrastructure monitoring platform: [monitoring tool name]</w:t>
      </w:r>
    </w:p>
    <w:p>
      <w:pPr>
        <w:pStyle w:val="ListBullet"/>
      </w:pPr>
      <w:r>
        <w:t>Identity provider logs and alerting: [IdP name]</w:t>
      </w:r>
    </w:p>
    <w:p>
      <w:pPr>
        <w:pStyle w:val="ListBullet"/>
      </w:pPr>
      <w:r>
        <w:t>Security orchestration or incident response tooling: [SOAR/ITSM tool name]</w:t>
      </w:r>
    </w:p>
    <w:p>
      <w:pPr>
        <w:pStyle w:val="ListBullet"/>
      </w:pPr>
      <w:r>
        <w:t>Configuration management or policy-as-code repositories, if monitoring rules are managed in version control: [repository name]</w:t>
      </w:r>
    </w:p>
    <w:p>
      <w:r>
        <w:t>The primary source should be the authoritative platform where security logs are centralised and detection rules are configured.</w:t>
      </w:r>
    </w:p>
    <w:p>
      <w:pPr>
        <w:pStyle w:val="Heading2"/>
      </w:pPr>
      <w:r>
        <w:t>How To Collect</w:t>
      </w:r>
    </w:p>
    <w:p>
      <w:pPr>
        <w:pStyle w:val="ListBullet"/>
      </w:pPr>
      <w:r>
        <w:t>Log in to [SIEM/log platform name] using an account with read-only administrator or security analyst access.</w:t>
      </w:r>
    </w:p>
    <w:p>
      <w:pPr>
        <w:pStyle w:val="ListBullet"/>
      </w:pPr>
      <w:r>
        <w:t>Navigate to the section showing log sources, data connectors, or ingestion status.</w:t>
      </w:r>
    </w:p>
    <w:p>
      <w:pPr>
        <w:pStyle w:val="ListBullet"/>
      </w:pPr>
      <w:r>
        <w:t>Export or capture evidence showing enabled log sources, ingestion health, and last event received.</w:t>
      </w:r>
    </w:p>
    <w:p>
      <w:pPr>
        <w:pStyle w:val="ListBullet"/>
      </w:pPr>
      <w:r>
        <w:t>Navigate to detection rules, correlation rules, saved searches, or alert policies.</w:t>
      </w:r>
    </w:p>
    <w:p>
      <w:pPr>
        <w:pStyle w:val="ListBullet"/>
      </w:pPr>
      <w:r>
        <w:t>Export the active monitoring rules or take screenshots showing key enabled rules and their configuration.</w:t>
      </w:r>
    </w:p>
    <w:p>
      <w:pPr>
        <w:pStyle w:val="ListBullet"/>
      </w:pPr>
      <w:r>
        <w:t>Navigate to retention, index, storage, or data lifecycle settings.</w:t>
      </w:r>
    </w:p>
    <w:p>
      <w:pPr>
        <w:pStyle w:val="ListBullet"/>
      </w:pPr>
      <w:r>
        <w:t>Export or capture the configured log retention period for relevant log types.</w:t>
      </w:r>
    </w:p>
    <w:p>
      <w:pPr>
        <w:pStyle w:val="ListBullet"/>
      </w:pPr>
      <w:r>
        <w:t>If alert routing is configured, capture the integration settings showing alerts sent to [ITSM/ticketing tool], [on-call platform], or [security mailbox].</w:t>
      </w:r>
    </w:p>
    <w:p>
      <w:pPr>
        <w:pStyle w:val="ListBullet"/>
      </w:pPr>
      <w:r>
        <w:t>If rules are managed through configuration files or version control, export the relevant configuration files and commit history from [repository name].</w:t>
      </w:r>
    </w:p>
    <w:p>
      <w:pPr>
        <w:pStyle w:val="ListBullet"/>
      </w:pPr>
      <w:r>
        <w:t>Save all exports and screenshots in the approved evidence repository with the collection date and collector noted.</w:t>
      </w:r>
    </w:p>
    <w:p>
      <w:pPr>
        <w:pStyle w:val="Heading2"/>
      </w:pPr>
      <w:r>
        <w:t>What To Capture</w:t>
      </w:r>
    </w:p>
    <w:p>
      <w:r>
        <w:t>Capture enough detail to prove that logging and monitoring are operationally configured. Evidence should include:</w:t>
      </w:r>
    </w:p>
    <w:p>
      <w:pPr>
        <w:pStyle w:val="ListBullet"/>
      </w:pPr>
      <w:r>
        <w:t>Tool name and environment: [SIEM/log platform name], [production environment]</w:t>
      </w:r>
    </w:p>
    <w:p>
      <w:pPr>
        <w:pStyle w:val="ListBullet"/>
      </w:pPr>
      <w:r>
        <w:t>Collection date and timestamp</w:t>
      </w:r>
    </w:p>
    <w:p>
      <w:pPr>
        <w:pStyle w:val="ListBullet"/>
      </w:pPr>
      <w:r>
        <w:t>Log source inventory, including:</w:t>
      </w:r>
    </w:p>
    <w:p>
      <w:pPr>
        <w:pStyle w:val="ListBullet"/>
      </w:pPr>
      <w:r>
        <w:t>Source name</w:t>
      </w:r>
    </w:p>
    <w:p>
      <w:pPr>
        <w:pStyle w:val="ListBullet"/>
      </w:pPr>
      <w:r>
        <w:t>System type</w:t>
      </w:r>
    </w:p>
    <w:p>
      <w:pPr>
        <w:pStyle w:val="ListBullet"/>
      </w:pPr>
      <w:r>
        <w:t>Status enabled/disabled</w:t>
      </w:r>
    </w:p>
    <w:p>
      <w:pPr>
        <w:pStyle w:val="ListBullet"/>
      </w:pPr>
      <w:r>
        <w:t>Last event received</w:t>
      </w:r>
    </w:p>
    <w:p>
      <w:pPr>
        <w:pStyle w:val="ListBullet"/>
      </w:pPr>
      <w:r>
        <w:t>Event volume or ingestion rate, where available</w:t>
      </w:r>
    </w:p>
    <w:p>
      <w:pPr>
        <w:pStyle w:val="ListBullet"/>
      </w:pPr>
      <w:r>
        <w:t>Monitored event categories, such as:</w:t>
      </w:r>
    </w:p>
    <w:p>
      <w:pPr>
        <w:pStyle w:val="ListBullet"/>
      </w:pPr>
      <w:r>
        <w:t>Authentication events</w:t>
      </w:r>
    </w:p>
    <w:p>
      <w:pPr>
        <w:pStyle w:val="ListBullet"/>
      </w:pPr>
      <w:r>
        <w:t>Privileged access activity</w:t>
      </w:r>
    </w:p>
    <w:p>
      <w:pPr>
        <w:pStyle w:val="ListBullet"/>
      </w:pPr>
      <w:r>
        <w:t>Administrative actions</w:t>
      </w:r>
    </w:p>
    <w:p>
      <w:pPr>
        <w:pStyle w:val="ListBullet"/>
      </w:pPr>
      <w:r>
        <w:t>Endpoint security events</w:t>
      </w:r>
    </w:p>
    <w:p>
      <w:pPr>
        <w:pStyle w:val="ListBullet"/>
      </w:pPr>
      <w:r>
        <w:t>Network security events</w:t>
      </w:r>
    </w:p>
    <w:p>
      <w:pPr>
        <w:pStyle w:val="ListBullet"/>
      </w:pPr>
      <w:r>
        <w:t>Cloud control plane events</w:t>
      </w:r>
    </w:p>
    <w:p>
      <w:pPr>
        <w:pStyle w:val="ListBullet"/>
      </w:pPr>
      <w:r>
        <w:t>Application security logs</w:t>
      </w:r>
    </w:p>
    <w:p>
      <w:pPr>
        <w:pStyle w:val="ListBullet"/>
      </w:pPr>
      <w:r>
        <w:t>Active detection or alert rules, including:</w:t>
      </w:r>
    </w:p>
    <w:p>
      <w:pPr>
        <w:pStyle w:val="ListBullet"/>
      </w:pPr>
      <w:r>
        <w:t>Rule name</w:t>
      </w:r>
    </w:p>
    <w:p>
      <w:pPr>
        <w:pStyle w:val="ListBullet"/>
      </w:pPr>
      <w:r>
        <w:t>Description or purpose</w:t>
      </w:r>
    </w:p>
    <w:p>
      <w:pPr>
        <w:pStyle w:val="ListBullet"/>
      </w:pPr>
      <w:r>
        <w:t>Severity</w:t>
      </w:r>
    </w:p>
    <w:p>
      <w:pPr>
        <w:pStyle w:val="ListBullet"/>
      </w:pPr>
      <w:r>
        <w:t>Enabled status</w:t>
      </w:r>
    </w:p>
    <w:p>
      <w:pPr>
        <w:pStyle w:val="ListBullet"/>
      </w:pPr>
      <w:r>
        <w:t>Query or detection logic summary</w:t>
      </w:r>
    </w:p>
    <w:p>
      <w:pPr>
        <w:pStyle w:val="ListBullet"/>
      </w:pPr>
      <w:r>
        <w:t>Trigger threshold or condition</w:t>
      </w:r>
    </w:p>
    <w:p>
      <w:pPr>
        <w:pStyle w:val="ListBullet"/>
      </w:pPr>
      <w:r>
        <w:t>Alert destination or escalation path</w:t>
      </w:r>
    </w:p>
    <w:p>
      <w:pPr>
        <w:pStyle w:val="ListBullet"/>
      </w:pPr>
      <w:r>
        <w:t>Log retention configuration, including:</w:t>
      </w:r>
    </w:p>
    <w:p>
      <w:pPr>
        <w:pStyle w:val="ListBullet"/>
      </w:pPr>
      <w:r>
        <w:t>Log index, bucket, table, or storage location</w:t>
      </w:r>
    </w:p>
    <w:p>
      <w:pPr>
        <w:pStyle w:val="ListBullet"/>
      </w:pPr>
      <w:r>
        <w:t>Retention period</w:t>
      </w:r>
    </w:p>
    <w:p>
      <w:pPr>
        <w:pStyle w:val="ListBullet"/>
      </w:pPr>
      <w:r>
        <w:t>Archive setting, if applicable</w:t>
      </w:r>
    </w:p>
    <w:p>
      <w:pPr>
        <w:pStyle w:val="ListBullet"/>
      </w:pPr>
      <w:r>
        <w:t>Deletion or lifecycle policy</w:t>
      </w:r>
    </w:p>
    <w:p>
      <w:pPr>
        <w:pStyle w:val="ListBullet"/>
      </w:pPr>
      <w:r>
        <w:t>Evidence of alert routing to [ITSM/ticketing tool], [SOAR platform], [on-call tool], or [security distribution list]</w:t>
      </w:r>
    </w:p>
    <w:p>
      <w:pPr>
        <w:pStyle w:val="ListBullet"/>
      </w:pPr>
      <w:r>
        <w:t>User or role showing the configuration was viewed by an authorised operator</w:t>
      </w:r>
    </w:p>
    <w:p>
      <w:pPr>
        <w:pStyle w:val="Heading2"/>
      </w:pPr>
      <w:r>
        <w:t>Frequency &amp; Owner</w:t>
      </w:r>
    </w:p>
    <w:p>
      <w:pPr>
        <w:pStyle w:val="ListBullet"/>
      </w:pPr>
      <w:r>
        <w:t>Frequency: Collect at least quarterly and after major changes to logging, monitoring, SIEM rules, cloud environments, or retention settings.</w:t>
      </w:r>
    </w:p>
    <w:p>
      <w:pPr>
        <w:pStyle w:val="ListBullet"/>
      </w:pPr>
      <w:r>
        <w:t>Owner: Security Operations Manager or designated Security Engineering owner.</w:t>
      </w:r>
    </w:p>
    <w:p>
      <w:pPr>
        <w:pStyle w:val="ListBullet"/>
      </w:pPr>
      <w:r>
        <w:t>Reviewer: Information Security, Compliance, or GRC owner responsible for SOC 2 evidence review.</w:t>
      </w:r>
    </w:p>
    <w:p>
      <w:pPr>
        <w:pStyle w:val="Heading2"/>
      </w:pPr>
      <w:r>
        <w:t>Retention &amp; Storage</w:t>
      </w:r>
    </w:p>
    <w:p>
      <w:r>
        <w:t>Store the collected evidence in [evidence repository/GRC platform name] under the SOC 2 evidence folder for the relevant audit period.</w:t>
      </w:r>
    </w:p>
    <w:p>
      <w:r>
        <w:t>Recommended storage requirements:</w:t>
      </w:r>
    </w:p>
    <w:p>
      <w:pPr>
        <w:pStyle w:val="ListBullet"/>
      </w:pPr>
      <w:r>
        <w:t>Retain for the full audit period plus the organisation’s evidence retention period.</w:t>
      </w:r>
    </w:p>
    <w:p>
      <w:pPr>
        <w:pStyle w:val="ListBullet"/>
      </w:pPr>
      <w:r>
        <w:t>Restrict access to Security, Compliance, and authorised auditors.</w:t>
      </w:r>
    </w:p>
    <w:p>
      <w:pPr>
        <w:pStyle w:val="ListBullet"/>
      </w:pPr>
      <w:r>
        <w:t>Preserve original exports where possible.</w:t>
      </w:r>
    </w:p>
    <w:p>
      <w:pPr>
        <w:pStyle w:val="ListBullet"/>
      </w:pPr>
      <w:r>
        <w:t>Use dated filenames, for example: logging-monitoring-configurations-[YYYY-MM-DD].</w:t>
      </w:r>
    </w:p>
    <w:p>
      <w:pPr>
        <w:pStyle w:val="ListBullet"/>
      </w:pPr>
      <w:r>
        <w:t>Do not alter screenshots or exports after collection.</w:t>
      </w:r>
    </w:p>
    <w:p>
      <w:pPr>
        <w:pStyle w:val="ListBullet"/>
      </w:pPr>
      <w:r>
        <w:t>Redact secrets, tokens, credentials, or sensitive payload data before sharing externally.</w:t>
      </w:r>
    </w:p>
    <w:p>
      <w:pPr>
        <w:pStyle w:val="Heading2"/>
      </w:pPr>
      <w:r>
        <w:t>Acceptance Criteria</w:t>
      </w:r>
    </w:p>
    <w:p>
      <w:r>
        <w:t>An auditor will generally accept this evidence if it shows that:</w:t>
      </w:r>
    </w:p>
    <w:p>
      <w:pPr>
        <w:pStyle w:val="ListBullet"/>
      </w:pPr>
      <w:r>
        <w:t>Evidence was collected directly from [SIEM/log platform name] or another authoritative logging and monitoring system.</w:t>
      </w:r>
    </w:p>
    <w:p>
      <w:pPr>
        <w:pStyle w:val="ListBullet"/>
      </w:pPr>
      <w:r>
        <w:t>Relevant production systems are sending logs to a central platform.</w:t>
      </w:r>
    </w:p>
    <w:p>
      <w:pPr>
        <w:pStyle w:val="ListBullet"/>
      </w:pPr>
      <w:r>
        <w:t>Log ingestion is enabled and active, with recent event timestamps.</w:t>
      </w:r>
    </w:p>
    <w:p>
      <w:pPr>
        <w:pStyle w:val="ListBullet"/>
      </w:pPr>
      <w:r>
        <w:t>Security monitoring rules or alerts are enabled and aligned to meaningful security events.</w:t>
      </w:r>
    </w:p>
    <w:p>
      <w:pPr>
        <w:pStyle w:val="ListBullet"/>
      </w:pPr>
      <w:r>
        <w:t>Alert routing is configured to a responsible team or response workflow.</w:t>
      </w:r>
    </w:p>
    <w:p>
      <w:pPr>
        <w:pStyle w:val="ListBullet"/>
      </w:pPr>
      <w:r>
        <w:t>Log retention settings are visible and meet the organisation’s stated retention requirement.</w:t>
      </w:r>
    </w:p>
    <w:p>
      <w:pPr>
        <w:pStyle w:val="ListBullet"/>
      </w:pPr>
      <w:r>
        <w:t>The evidence is dated, attributable, and clearly tied to the audit period.</w:t>
      </w:r>
    </w:p>
    <w:p>
      <w:pPr>
        <w:pStyle w:val="ListBullet"/>
      </w:pPr>
      <w:r>
        <w:t>Screenshots or exports are complete enough to verify configuration without relying only on management assertions.</w:t>
      </w:r>
    </w:p>
    <w:p>
      <w:pPr>
        <w:pStyle w:val="ListBullet"/>
      </w:pPr>
      <w:r>
        <w:t>Any configuration-as-code evidence includes repository path, file content, and recent commit history where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