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Bridge Letter (between report periods)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[DOC-SOC2-ATT-001]</w:t>
            </w:r>
          </w:p>
        </w:tc>
        <w:tc>
          <w:tcPr>
            <w:tcW w:type="dxa" w:w="1440"/>
          </w:tcPr>
          <w:p>
            <w:r>
              <w:t>1.0</w:t>
            </w:r>
          </w:p>
        </w:tc>
        <w:tc>
          <w:tcPr>
            <w:tcW w:type="dxa" w:w="1440"/>
          </w:tcPr>
          <w:p>
            <w:r>
              <w:t>[Compliance / Trust Office]</w:t>
            </w:r>
          </w:p>
        </w:tc>
        <w:tc>
          <w:tcPr>
            <w:tcW w:type="dxa" w:w="1440"/>
          </w:tcPr>
          <w:p>
            <w:r>
              <w:t>[Effective Date]</w:t>
            </w:r>
          </w:p>
        </w:tc>
        <w:tc>
          <w:tcPr>
            <w:tcW w:type="dxa" w:w="1440"/>
          </w:tcPr>
          <w:p>
            <w:r>
              <w:t>SOC 2</w:t>
            </w:r>
          </w:p>
        </w:tc>
        <w:tc>
          <w:tcPr>
            <w:tcW w:type="dxa" w:w="1440"/>
          </w:tcPr>
          <w:p>
            <w:r>
              <w:t>Customer Confidential</w:t>
            </w:r>
          </w:p>
        </w:tc>
      </w:tr>
    </w:tbl>
    <w:p>
      <w:pPr>
        <w:pStyle w:val="Heading2"/>
      </w:pPr>
      <w:r>
        <w:t>Purpose</w:t>
      </w:r>
    </w:p>
    <w:p>
      <w:r>
        <w:t>This Bridge Letter provides customers, prospective customers, auditors, and other authorised stakeholders with a management attestation covering the period between the end date of [Organisation Name]’s most recent SOC 2 report and the effective date of this letter.</w:t>
      </w:r>
    </w:p>
    <w:p>
      <w:r>
        <w:t>This document is intended to help stakeholders understand whether any material changes, significant control issues, or relevant security events occurred after the covered SOC 2 examination period and before the next SOC 2 report becomes available.</w:t>
      </w:r>
    </w:p>
    <w:p>
      <w:r>
        <w:t>This Bridge Letter does not replace the independent SOC 2 report issued by [Audit Firm Name]. It is a management representation only and has not been examined or tested by the independent service auditor unless explicitly stated in a separate auditor-issued document.</w:t>
      </w:r>
    </w:p>
    <w:p>
      <w:pPr>
        <w:pStyle w:val="Heading2"/>
      </w:pPr>
      <w:r>
        <w:t>Scope</w:t>
      </w:r>
    </w:p>
    <w:p>
      <w:r>
        <w:t>This Bridge Letter applies to the services, systems, locations, teams, and control environment included in the most recent SOC 2 report for [Organisation Name].</w:t>
      </w:r>
    </w:p>
    <w:tbl>
      <w:tblPr>
        <w:tblStyle w:val="TableGrid"/>
        <w:tblW w:type="auto" w:w="0"/>
        <w:tblLook w:firstColumn="1" w:firstRow="1" w:lastColumn="0" w:lastRow="0" w:noHBand="0" w:noVBand="1" w:val="04A0"/>
      </w:tblPr>
      <w:tblGrid>
        <w:gridCol w:w="4320"/>
        <w:gridCol w:w="4320"/>
      </w:tblGrid>
      <w:tr>
        <w:tc>
          <w:tcPr>
            <w:tcW w:type="dxa" w:w="4320"/>
          </w:tcPr>
          <w:p>
            <w:r>
              <w:t>Scope Area</w:t>
            </w:r>
          </w:p>
        </w:tc>
        <w:tc>
          <w:tcPr>
            <w:tcW w:type="dxa" w:w="4320"/>
          </w:tcPr>
          <w:p>
            <w:r>
              <w:t>Description</w:t>
            </w:r>
          </w:p>
        </w:tc>
      </w:tr>
      <w:tr>
        <w:tc>
          <w:tcPr>
            <w:tcW w:type="dxa" w:w="4320"/>
          </w:tcPr>
          <w:p>
            <w:r>
              <w:t>Organisation</w:t>
            </w:r>
          </w:p>
        </w:tc>
        <w:tc>
          <w:tcPr>
            <w:tcW w:type="dxa" w:w="4320"/>
          </w:tcPr>
          <w:p>
            <w:r>
              <w:t>[Organisation Name]</w:t>
            </w:r>
          </w:p>
        </w:tc>
      </w:tr>
      <w:tr>
        <w:tc>
          <w:tcPr>
            <w:tcW w:type="dxa" w:w="4320"/>
          </w:tcPr>
          <w:p>
            <w:r>
              <w:t>Service Covered</w:t>
            </w:r>
          </w:p>
        </w:tc>
        <w:tc>
          <w:tcPr>
            <w:tcW w:type="dxa" w:w="4320"/>
          </w:tcPr>
          <w:p>
            <w:r>
              <w:t>[Service / Platform Name]</w:t>
            </w:r>
          </w:p>
        </w:tc>
      </w:tr>
      <w:tr>
        <w:tc>
          <w:tcPr>
            <w:tcW w:type="dxa" w:w="4320"/>
          </w:tcPr>
          <w:p>
            <w:r>
              <w:t>Most Recent SOC 2 Report Type</w:t>
            </w:r>
          </w:p>
        </w:tc>
        <w:tc>
          <w:tcPr>
            <w:tcW w:type="dxa" w:w="4320"/>
          </w:tcPr>
          <w:p>
            <w:r>
              <w:t>[Type I / Type II]</w:t>
            </w:r>
          </w:p>
        </w:tc>
      </w:tr>
      <w:tr>
        <w:tc>
          <w:tcPr>
            <w:tcW w:type="dxa" w:w="4320"/>
          </w:tcPr>
          <w:p>
            <w:r>
              <w:t>SOC 2 Report Period Covered</w:t>
            </w:r>
          </w:p>
        </w:tc>
        <w:tc>
          <w:tcPr>
            <w:tcW w:type="dxa" w:w="4320"/>
          </w:tcPr>
          <w:p>
            <w:r>
              <w:t>[Start Date] to [End Date]</w:t>
            </w:r>
          </w:p>
        </w:tc>
      </w:tr>
      <w:tr>
        <w:tc>
          <w:tcPr>
            <w:tcW w:type="dxa" w:w="4320"/>
          </w:tcPr>
          <w:p>
            <w:r>
              <w:t>Bridge Period Covered by this Letter</w:t>
            </w:r>
          </w:p>
        </w:tc>
        <w:tc>
          <w:tcPr>
            <w:tcW w:type="dxa" w:w="4320"/>
          </w:tcPr>
          <w:p>
            <w:r>
              <w:t>[Day After Report End Date] to [Bridge Letter Date]</w:t>
            </w:r>
          </w:p>
        </w:tc>
      </w:tr>
      <w:tr>
        <w:tc>
          <w:tcPr>
            <w:tcW w:type="dxa" w:w="4320"/>
          </w:tcPr>
          <w:p>
            <w:r>
              <w:t>Trust Services Categories Covered</w:t>
            </w:r>
          </w:p>
        </w:tc>
        <w:tc>
          <w:tcPr>
            <w:tcW w:type="dxa" w:w="4320"/>
          </w:tcPr>
          <w:p>
            <w:r>
              <w:t>[Security, Availability, Confidentiality, Processing Integrity, Privacy - as applicable]</w:t>
            </w:r>
          </w:p>
        </w:tc>
      </w:tr>
      <w:tr>
        <w:tc>
          <w:tcPr>
            <w:tcW w:type="dxa" w:w="4320"/>
          </w:tcPr>
          <w:p>
            <w:r>
              <w:t>Independent Service Auditor</w:t>
            </w:r>
          </w:p>
        </w:tc>
        <w:tc>
          <w:tcPr>
            <w:tcW w:type="dxa" w:w="4320"/>
          </w:tcPr>
          <w:p>
            <w:r>
              <w:t>[Audit Firm Name]</w:t>
            </w:r>
          </w:p>
        </w:tc>
      </w:tr>
      <w:tr>
        <w:tc>
          <w:tcPr>
            <w:tcW w:type="dxa" w:w="4320"/>
          </w:tcPr>
          <w:p>
            <w:r>
              <w:t>Report Distribution</w:t>
            </w:r>
          </w:p>
        </w:tc>
        <w:tc>
          <w:tcPr>
            <w:tcW w:type="dxa" w:w="4320"/>
          </w:tcPr>
          <w:p>
            <w:r>
              <w:t>Available under non-disclosure agreement or other approved confidentiality terms</w:t>
            </w:r>
          </w:p>
        </w:tc>
      </w:tr>
    </w:tbl>
    <w:p>
      <w:r>
        <w:t>This attestation is limited to the control environment described in the most recent SOC 2 report and the bridge period identified above. It does not extend to systems, services, subsidiaries, third-party environments, or product lines that were not included in the scope of the most recent SOC 2 report.</w:t>
      </w:r>
    </w:p>
    <w:p>
      <w:r>
        <w:t>Where [Organisation Name] uses third-party service providers to support delivery of the in-scope service, this Bridge Letter does not provide an independent attestation over those providers’ control environments. Management has, however, continued to operate its vendor risk management and monitoring processes during the bridge period.</w:t>
      </w:r>
    </w:p>
    <w:p>
      <w:pPr>
        <w:pStyle w:val="Heading2"/>
      </w:pPr>
      <w:r>
        <w:t>Attestation Statement</w:t>
      </w:r>
    </w:p>
    <w:p>
      <w:r>
        <w:t>Management of [Organisation Name] represents that, to the best of its knowledge and based on internal review of governance, risk, compliance, security, operational, and incident management records, the following statements are accurate for the bridge period from [Day After Report End Date] to [Bridge Letter Date]:</w:t>
      </w:r>
    </w:p>
    <w:p>
      <w:pPr>
        <w:pStyle w:val="ListBullet"/>
      </w:pPr>
      <w:r>
        <w:t>The control environment supporting the in-scope service remained materially consistent with the environment described in the most recent SOC 2 report.</w:t>
      </w:r>
    </w:p>
    <w:p>
      <w:pPr>
        <w:pStyle w:val="ListBullet"/>
      </w:pPr>
      <w:r>
        <w:t>The policies, procedures, and control activities relevant to the in-scope Trust Services Categories continued to be maintained and operated during the bridge period.</w:t>
      </w:r>
    </w:p>
    <w:p>
      <w:pPr>
        <w:pStyle w:val="ListBullet"/>
      </w:pPr>
      <w:r>
        <w:t>No material changes occurred that would significantly affect the design or operation of controls described in the most recent SOC 2 report, except as disclosed below.</w:t>
      </w:r>
    </w:p>
    <w:p>
      <w:pPr>
        <w:pStyle w:val="ListBullet"/>
      </w:pPr>
      <w:r>
        <w:t>No significant security incident, data breach, service disruption, or unauthorised disclosure affecting customer data within the in-scope service occurred during the bridge period, except as disclosed below.</w:t>
      </w:r>
    </w:p>
    <w:p>
      <w:pPr>
        <w:pStyle w:val="ListBullet"/>
      </w:pPr>
      <w:r>
        <w:t>No material control deficiency was identified during the bridge period that would materially affect the conclusions presented in the most recent SOC 2 report, except as disclosed below.</w:t>
      </w:r>
    </w:p>
    <w:p>
      <w:pPr>
        <w:pStyle w:val="ListBullet"/>
      </w:pPr>
      <w:r>
        <w:t>Control monitoring, vulnerability management, access review, change management, incident response, business continuity, vendor management, risk management, and policy governance activities continued to be performed in the normal course of business.</w:t>
      </w:r>
    </w:p>
    <w:p>
      <w:pPr>
        <w:pStyle w:val="ListBullet"/>
      </w:pPr>
      <w:r>
        <w:t>Customer data continued to be handled in accordance with [Organisation Name]’s contractual commitments, documented security policies, and applicable data protection obligations.</w:t>
      </w:r>
    </w:p>
    <w:p>
      <w:pPr>
        <w:pStyle w:val="ListBullet"/>
      </w:pPr>
      <w:r>
        <w:t>Any routine operational changes made during the bridge period were managed through established change management, security review, testing, approval, and deployment processes.</w:t>
      </w:r>
    </w:p>
    <w:p>
      <w:pPr>
        <w:pStyle w:val="ListBullet"/>
      </w:pPr>
      <w:r>
        <w:t>[Organisation Name] is not aware of any matter that would cause customers to reasonably conclude that the most recent SOC 2 report is materially misleading when considered together with this Bridge Letter.</w:t>
      </w:r>
    </w:p>
    <w:p>
      <w:r>
        <w:t>The following table records management’s disclosure position for the bridge period:</w:t>
      </w:r>
    </w:p>
    <w:tbl>
      <w:tblPr>
        <w:tblStyle w:val="TableGrid"/>
        <w:tblW w:type="auto" w:w="0"/>
        <w:tblLook w:firstColumn="1" w:firstRow="1" w:lastColumn="0" w:lastRow="0" w:noHBand="0" w:noVBand="1" w:val="04A0"/>
      </w:tblPr>
      <w:tblGrid>
        <w:gridCol w:w="2880"/>
        <w:gridCol w:w="2880"/>
        <w:gridCol w:w="2880"/>
      </w:tblGrid>
      <w:tr>
        <w:tc>
          <w:tcPr>
            <w:tcW w:type="dxa" w:w="2880"/>
          </w:tcPr>
          <w:p>
            <w:r>
              <w:t>Area Reviewed</w:t>
            </w:r>
          </w:p>
        </w:tc>
        <w:tc>
          <w:tcPr>
            <w:tcW w:type="dxa" w:w="2880"/>
          </w:tcPr>
          <w:p>
            <w:r>
              <w:t>Management Attestation</w:t>
            </w:r>
          </w:p>
        </w:tc>
        <w:tc>
          <w:tcPr>
            <w:tcW w:type="dxa" w:w="2880"/>
          </w:tcPr>
          <w:p>
            <w:r>
              <w:t>Disclosure Required</w:t>
            </w:r>
          </w:p>
        </w:tc>
      </w:tr>
      <w:tr>
        <w:tc>
          <w:tcPr>
            <w:tcW w:type="dxa" w:w="2880"/>
          </w:tcPr>
          <w:p>
            <w:r>
              <w:t>Material changes to in-scope systems or services</w:t>
            </w:r>
          </w:p>
        </w:tc>
        <w:tc>
          <w:tcPr>
            <w:tcW w:type="dxa" w:w="2880"/>
          </w:tcPr>
          <w:p>
            <w:r>
              <w:t>[No material changes identified / See disclosure below]</w:t>
            </w:r>
          </w:p>
        </w:tc>
        <w:tc>
          <w:tcPr>
            <w:tcW w:type="dxa" w:w="2880"/>
          </w:tcPr>
          <w:p>
            <w:r>
              <w:t>[Yes / No]</w:t>
            </w:r>
          </w:p>
        </w:tc>
      </w:tr>
      <w:tr>
        <w:tc>
          <w:tcPr>
            <w:tcW w:type="dxa" w:w="2880"/>
          </w:tcPr>
          <w:p>
            <w:r>
              <w:t>Significant changes to control ownership or governance</w:t>
            </w:r>
          </w:p>
        </w:tc>
        <w:tc>
          <w:tcPr>
            <w:tcW w:type="dxa" w:w="2880"/>
          </w:tcPr>
          <w:p>
            <w:r>
              <w:t>[No significant changes identified / See disclosure below]</w:t>
            </w:r>
          </w:p>
        </w:tc>
        <w:tc>
          <w:tcPr>
            <w:tcW w:type="dxa" w:w="2880"/>
          </w:tcPr>
          <w:p>
            <w:r>
              <w:t>[Yes / No]</w:t>
            </w:r>
          </w:p>
        </w:tc>
      </w:tr>
      <w:tr>
        <w:tc>
          <w:tcPr>
            <w:tcW w:type="dxa" w:w="2880"/>
          </w:tcPr>
          <w:p>
            <w:r>
              <w:t>Significant customer-impacting security incidents</w:t>
            </w:r>
          </w:p>
        </w:tc>
        <w:tc>
          <w:tcPr>
            <w:tcW w:type="dxa" w:w="2880"/>
          </w:tcPr>
          <w:p>
            <w:r>
              <w:t>[No significant incidents identified / See disclosure below]</w:t>
            </w:r>
          </w:p>
        </w:tc>
        <w:tc>
          <w:tcPr>
            <w:tcW w:type="dxa" w:w="2880"/>
          </w:tcPr>
          <w:p>
            <w:r>
              <w:t>[Yes / No]</w:t>
            </w:r>
          </w:p>
        </w:tc>
      </w:tr>
      <w:tr>
        <w:tc>
          <w:tcPr>
            <w:tcW w:type="dxa" w:w="2880"/>
          </w:tcPr>
          <w:p>
            <w:r>
              <w:t>Material control failures or exceptions</w:t>
            </w:r>
          </w:p>
        </w:tc>
        <w:tc>
          <w:tcPr>
            <w:tcW w:type="dxa" w:w="2880"/>
          </w:tcPr>
          <w:p>
            <w:r>
              <w:t>[No material failures identified / See disclosure below]</w:t>
            </w:r>
          </w:p>
        </w:tc>
        <w:tc>
          <w:tcPr>
            <w:tcW w:type="dxa" w:w="2880"/>
          </w:tcPr>
          <w:p>
            <w:r>
              <w:t>[Yes / No]</w:t>
            </w:r>
          </w:p>
        </w:tc>
      </w:tr>
      <w:tr>
        <w:tc>
          <w:tcPr>
            <w:tcW w:type="dxa" w:w="2880"/>
          </w:tcPr>
          <w:p>
            <w:r>
              <w:t>Major changes to data hosting or processing locations</w:t>
            </w:r>
          </w:p>
        </w:tc>
        <w:tc>
          <w:tcPr>
            <w:tcW w:type="dxa" w:w="2880"/>
          </w:tcPr>
          <w:p>
            <w:r>
              <w:t>[No major changes identified / See disclosure below]</w:t>
            </w:r>
          </w:p>
        </w:tc>
        <w:tc>
          <w:tcPr>
            <w:tcW w:type="dxa" w:w="2880"/>
          </w:tcPr>
          <w:p>
            <w:r>
              <w:t>[Yes / No]</w:t>
            </w:r>
          </w:p>
        </w:tc>
      </w:tr>
      <w:tr>
        <w:tc>
          <w:tcPr>
            <w:tcW w:type="dxa" w:w="2880"/>
          </w:tcPr>
          <w:p>
            <w:r>
              <w:t>Significant vendor or subservice organisation changes</w:t>
            </w:r>
          </w:p>
        </w:tc>
        <w:tc>
          <w:tcPr>
            <w:tcW w:type="dxa" w:w="2880"/>
          </w:tcPr>
          <w:p>
            <w:r>
              <w:t>[No significant changes identified / See disclosure below]</w:t>
            </w:r>
          </w:p>
        </w:tc>
        <w:tc>
          <w:tcPr>
            <w:tcW w:type="dxa" w:w="2880"/>
          </w:tcPr>
          <w:p>
            <w:r>
              <w:t>[Yes / No]</w:t>
            </w:r>
          </w:p>
        </w:tc>
      </w:tr>
      <w:tr>
        <w:tc>
          <w:tcPr>
            <w:tcW w:type="dxa" w:w="2880"/>
          </w:tcPr>
          <w:p>
            <w:r>
              <w:t>Significant availability or resilience events</w:t>
            </w:r>
          </w:p>
        </w:tc>
        <w:tc>
          <w:tcPr>
            <w:tcW w:type="dxa" w:w="2880"/>
          </w:tcPr>
          <w:p>
            <w:r>
              <w:t>[No significant events identified / See disclosure below]</w:t>
            </w:r>
          </w:p>
        </w:tc>
        <w:tc>
          <w:tcPr>
            <w:tcW w:type="dxa" w:w="2880"/>
          </w:tcPr>
          <w:p>
            <w:r>
              <w:t>[Yes / No]</w:t>
            </w:r>
          </w:p>
        </w:tc>
      </w:tr>
      <w:tr>
        <w:tc>
          <w:tcPr>
            <w:tcW w:type="dxa" w:w="2880"/>
          </w:tcPr>
          <w:p>
            <w:r>
              <w:t>Material legal, regulatory, or contractual security matters</w:t>
            </w:r>
          </w:p>
        </w:tc>
        <w:tc>
          <w:tcPr>
            <w:tcW w:type="dxa" w:w="2880"/>
          </w:tcPr>
          <w:p>
            <w:r>
              <w:t>[No material matters identified / See disclosure below]</w:t>
            </w:r>
          </w:p>
        </w:tc>
        <w:tc>
          <w:tcPr>
            <w:tcW w:type="dxa" w:w="2880"/>
          </w:tcPr>
          <w:p>
            <w:r>
              <w:t>[Yes / No]</w:t>
            </w:r>
          </w:p>
        </w:tc>
      </w:tr>
    </w:tbl>
    <w:p>
      <w:r>
        <w:t>If applicable, management discloses the following matters for the bridge period: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Date / Period</w:t>
            </w:r>
          </w:p>
        </w:tc>
        <w:tc>
          <w:tcPr>
            <w:tcW w:type="dxa" w:w="1728"/>
          </w:tcPr>
          <w:p>
            <w:r>
              <w:t>Matter</w:t>
            </w:r>
          </w:p>
        </w:tc>
        <w:tc>
          <w:tcPr>
            <w:tcW w:type="dxa" w:w="1728"/>
          </w:tcPr>
          <w:p>
            <w:r>
              <w:t>Impact Assessment</w:t>
            </w:r>
          </w:p>
        </w:tc>
        <w:tc>
          <w:tcPr>
            <w:tcW w:type="dxa" w:w="1728"/>
          </w:tcPr>
          <w:p>
            <w:r>
              <w:t>Remediation / Current Status</w:t>
            </w:r>
          </w:p>
        </w:tc>
        <w:tc>
          <w:tcPr>
            <w:tcW w:type="dxa" w:w="1728"/>
          </w:tcPr>
          <w:p>
            <w:r>
              <w:t>Customer Notification Status</w:t>
            </w:r>
          </w:p>
        </w:tc>
      </w:tr>
      <w:tr>
        <w:tc>
          <w:tcPr>
            <w:tcW w:type="dxa" w:w="1728"/>
          </w:tcPr>
          <w:p>
            <w:r>
              <w:t>[Date]</w:t>
            </w:r>
          </w:p>
        </w:tc>
        <w:tc>
          <w:tcPr>
            <w:tcW w:type="dxa" w:w="1728"/>
          </w:tcPr>
          <w:p>
            <w:r>
              <w:t>[Description of disclosed change, event, exception, or issue]</w:t>
            </w:r>
          </w:p>
        </w:tc>
        <w:tc>
          <w:tcPr>
            <w:tcW w:type="dxa" w:w="1728"/>
          </w:tcPr>
          <w:p>
            <w:r>
              <w:t>[Summary of impact on customers, data, services, or controls]</w:t>
            </w:r>
          </w:p>
        </w:tc>
        <w:tc>
          <w:tcPr>
            <w:tcW w:type="dxa" w:w="1728"/>
          </w:tcPr>
          <w:p>
            <w:r>
              <w:t>[Remediation completed / In progress / Compensating controls in place]</w:t>
            </w:r>
          </w:p>
        </w:tc>
        <w:tc>
          <w:tcPr>
            <w:tcW w:type="dxa" w:w="1728"/>
          </w:tcPr>
          <w:p>
            <w:r>
              <w:t>[Not required / Completed on Date / In progress]</w:t>
            </w:r>
          </w:p>
        </w:tc>
      </w:tr>
      <w:tr>
        <w:tc>
          <w:tcPr>
            <w:tcW w:type="dxa" w:w="1728"/>
          </w:tcPr>
          <w:p>
            <w:r>
              <w:t>[Date]</w:t>
            </w:r>
          </w:p>
        </w:tc>
        <w:tc>
          <w:tcPr>
            <w:tcW w:type="dxa" w:w="1728"/>
          </w:tcPr>
          <w:p>
            <w:r>
              <w:t>[Description]</w:t>
            </w:r>
          </w:p>
        </w:tc>
        <w:tc>
          <w:tcPr>
            <w:tcW w:type="dxa" w:w="1728"/>
          </w:tcPr>
          <w:p>
            <w:r>
              <w:t>[Impact]</w:t>
            </w:r>
          </w:p>
        </w:tc>
        <w:tc>
          <w:tcPr>
            <w:tcW w:type="dxa" w:w="1728"/>
          </w:tcPr>
          <w:p>
            <w:r>
              <w:t>[Status]</w:t>
            </w:r>
          </w:p>
        </w:tc>
        <w:tc>
          <w:tcPr>
            <w:tcW w:type="dxa" w:w="1728"/>
          </w:tcPr>
          <w:p>
            <w:r>
              <w:t>[Status]</w:t>
            </w:r>
          </w:p>
        </w:tc>
      </w:tr>
    </w:tbl>
    <w:p>
      <w:r>
        <w:t>If no disclosures are required, the table above should state: “No matters requiring disclosure were identified for the bridge period.”</w:t>
      </w:r>
    </w:p>
    <w:p>
      <w:r>
        <w:t>This Bridge Letter is provided solely for the benefit of authorised stakeholders who have received, or are entitled to receive, [Organisation Name]’s most recent SOC 2 report. It should be read together with that report, including its description of the system, management’s assertion, the independent service auditor’s opinion, testing period, complementary user entity responsibilities, and any noted exceptions.</w:t>
      </w:r>
    </w:p>
    <w:p>
      <w:pPr>
        <w:pStyle w:val="Heading2"/>
      </w:pPr>
      <w:r>
        <w:t>Signatory &amp; Authority</w:t>
      </w:r>
    </w:p>
    <w:p>
      <w:r>
        <w:t>This Bridge Letter is issued by authorised management of [Organisation Name]. The signatory confirms that they have appropriate responsibility and authority for the governance, oversight, and representation of the control environment supporting the in-scope service.</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 for Attestation</w:t>
            </w:r>
          </w:p>
        </w:tc>
      </w:tr>
      <w:tr>
        <w:tc>
          <w:tcPr>
            <w:tcW w:type="dxa" w:w="4320"/>
          </w:tcPr>
          <w:p>
            <w:r>
              <w:t>[Chief Information Security Officer / Head of Security]</w:t>
            </w:r>
          </w:p>
        </w:tc>
        <w:tc>
          <w:tcPr>
            <w:tcW w:type="dxa" w:w="4320"/>
          </w:tcPr>
          <w:p>
            <w:r>
              <w:t>Confirms security control operation, incident review, vulnerability management, and security governance activities during the bridge period.</w:t>
            </w:r>
          </w:p>
        </w:tc>
      </w:tr>
      <w:tr>
        <w:tc>
          <w:tcPr>
            <w:tcW w:type="dxa" w:w="4320"/>
          </w:tcPr>
          <w:p>
            <w:r>
              <w:t>[Chief Technology Officer / VP Engineering]</w:t>
            </w:r>
          </w:p>
        </w:tc>
        <w:tc>
          <w:tcPr>
            <w:tcW w:type="dxa" w:w="4320"/>
          </w:tcPr>
          <w:p>
            <w:r>
              <w:t>Confirms material technology changes, platform operations, change management, and service availability matters.</w:t>
            </w:r>
          </w:p>
        </w:tc>
      </w:tr>
      <w:tr>
        <w:tc>
          <w:tcPr>
            <w:tcW w:type="dxa" w:w="4320"/>
          </w:tcPr>
          <w:p>
            <w:r>
              <w:t>[Chief Compliance Officer / GRC Lead]</w:t>
            </w:r>
          </w:p>
        </w:tc>
        <w:tc>
          <w:tcPr>
            <w:tcW w:type="dxa" w:w="4320"/>
          </w:tcPr>
          <w:p>
            <w:r>
              <w:t>Confirms review of compliance evidence, SOC 2 scope alignment, control monitoring, and customer assurance records.</w:t>
            </w:r>
          </w:p>
        </w:tc>
      </w:tr>
      <w:tr>
        <w:tc>
          <w:tcPr>
            <w:tcW w:type="dxa" w:w="4320"/>
          </w:tcPr>
          <w:p>
            <w:r>
              <w:t>[Executive Sponsor / Chief Operating Officer]</w:t>
            </w:r>
          </w:p>
        </w:tc>
        <w:tc>
          <w:tcPr>
            <w:tcW w:type="dxa" w:w="4320"/>
          </w:tcPr>
          <w:p>
            <w:r>
              <w:t>Confirms executive accountability for the accuracy and release of this management attestation.</w:t>
            </w:r>
          </w:p>
        </w:tc>
      </w:tr>
    </w:tbl>
    <w:p>
      <w:r>
        <w:t>Authorised signatory:</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Details</w:t>
            </w:r>
          </w:p>
        </w:tc>
      </w:tr>
      <w:tr>
        <w:tc>
          <w:tcPr>
            <w:tcW w:type="dxa" w:w="4320"/>
          </w:tcPr>
          <w:p>
            <w:r>
              <w:t>Name</w:t>
            </w:r>
          </w:p>
        </w:tc>
        <w:tc>
          <w:tcPr>
            <w:tcW w:type="dxa" w:w="4320"/>
          </w:tcPr>
          <w:p>
            <w:r>
              <w:t>[Authorised Signatory Name]</w:t>
            </w:r>
          </w:p>
        </w:tc>
      </w:tr>
      <w:tr>
        <w:tc>
          <w:tcPr>
            <w:tcW w:type="dxa" w:w="4320"/>
          </w:tcPr>
          <w:p>
            <w:r>
              <w:t>Title</w:t>
            </w:r>
          </w:p>
        </w:tc>
        <w:tc>
          <w:tcPr>
            <w:tcW w:type="dxa" w:w="4320"/>
          </w:tcPr>
          <w:p>
            <w:r>
              <w:t>[Authorised Signatory Title]</w:t>
            </w:r>
          </w:p>
        </w:tc>
      </w:tr>
      <w:tr>
        <w:tc>
          <w:tcPr>
            <w:tcW w:type="dxa" w:w="4320"/>
          </w:tcPr>
          <w:p>
            <w:r>
              <w:t>Organisation</w:t>
            </w:r>
          </w:p>
        </w:tc>
        <w:tc>
          <w:tcPr>
            <w:tcW w:type="dxa" w:w="4320"/>
          </w:tcPr>
          <w:p>
            <w:r>
              <w:t>[Organisation Name]</w:t>
            </w:r>
          </w:p>
        </w:tc>
      </w:tr>
      <w:tr>
        <w:tc>
          <w:tcPr>
            <w:tcW w:type="dxa" w:w="4320"/>
          </w:tcPr>
          <w:p>
            <w:r>
              <w:t>Signature</w:t>
            </w:r>
          </w:p>
        </w:tc>
        <w:tc>
          <w:tcPr>
            <w:tcW w:type="dxa" w:w="4320"/>
          </w:tcPr>
          <w:p>
            <w:r>
              <w:t>[Signature or Approved Electronic Signature]</w:t>
            </w:r>
          </w:p>
        </w:tc>
      </w:tr>
      <w:tr>
        <w:tc>
          <w:tcPr>
            <w:tcW w:type="dxa" w:w="4320"/>
          </w:tcPr>
          <w:p>
            <w:r>
              <w:t>Date Signed</w:t>
            </w:r>
          </w:p>
        </w:tc>
        <w:tc>
          <w:tcPr>
            <w:tcW w:type="dxa" w:w="4320"/>
          </w:tcPr>
          <w:p>
            <w:r>
              <w:t>[Signature Date]</w:t>
            </w:r>
          </w:p>
        </w:tc>
      </w:tr>
      <w:tr>
        <w:tc>
          <w:tcPr>
            <w:tcW w:type="dxa" w:w="4320"/>
          </w:tcPr>
          <w:p>
            <w:r>
              <w:t>Contact for Assurance Requests</w:t>
            </w:r>
          </w:p>
        </w:tc>
        <w:tc>
          <w:tcPr>
            <w:tcW w:type="dxa" w:w="4320"/>
          </w:tcPr>
          <w:p>
            <w:r>
              <w:t>[Trust / Compliance Contact Email]</w:t>
            </w:r>
          </w:p>
        </w:tc>
      </w:tr>
    </w:tbl>
    <w:p>
      <w:r>
        <w:t>By signing this Bridge Letter, the authorised signatory represents that reasonable internal enquiries have been completed and that the statements in this document are accurate to the best of management’s knowledge as of the date signed.</w:t>
      </w:r>
    </w:p>
    <w:p>
      <w:pPr>
        <w:pStyle w:val="Heading2"/>
      </w:pPr>
      <w:r>
        <w:t>Evidence Referenced</w:t>
      </w:r>
    </w:p>
    <w:p>
      <w:r>
        <w:t>Management’s attestation is based on review of relevant internal records and control evidence maintained during the bridge period. Evidence may include, but is not limited to, the following: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Evidence Category</w:t>
            </w:r>
          </w:p>
        </w:tc>
        <w:tc>
          <w:tcPr>
            <w:tcW w:type="dxa" w:w="2160"/>
          </w:tcPr>
          <w:p>
            <w:r>
              <w:t>Example Evidence Reviewed</w:t>
            </w:r>
          </w:p>
        </w:tc>
        <w:tc>
          <w:tcPr>
            <w:tcW w:type="dxa" w:w="2160"/>
          </w:tcPr>
          <w:p>
            <w:r>
              <w:t>Evidence Owner</w:t>
            </w:r>
          </w:p>
        </w:tc>
        <w:tc>
          <w:tcPr>
            <w:tcW w:type="dxa" w:w="2160"/>
          </w:tcPr>
          <w:p>
            <w:r>
              <w:t>Review Frequency</w:t>
            </w:r>
          </w:p>
        </w:tc>
      </w:tr>
      <w:tr>
        <w:tc>
          <w:tcPr>
            <w:tcW w:type="dxa" w:w="2160"/>
          </w:tcPr>
          <w:p>
            <w:r>
              <w:t>Security governance</w:t>
            </w:r>
          </w:p>
        </w:tc>
        <w:tc>
          <w:tcPr>
            <w:tcW w:type="dxa" w:w="2160"/>
          </w:tcPr>
          <w:p>
            <w:r>
              <w:t>Security steering committee records, risk register updates, policy exception logs</w:t>
            </w:r>
          </w:p>
        </w:tc>
        <w:tc>
          <w:tcPr>
            <w:tcW w:type="dxa" w:w="2160"/>
          </w:tcPr>
          <w:p>
            <w:r>
              <w:t>[Security / GRC]</w:t>
            </w:r>
          </w:p>
        </w:tc>
        <w:tc>
          <w:tcPr>
            <w:tcW w:type="dxa" w:w="2160"/>
          </w:tcPr>
          <w:p>
            <w:r>
              <w:t>[Monthly / Quarterly]</w:t>
            </w:r>
          </w:p>
        </w:tc>
      </w:tr>
      <w:tr>
        <w:tc>
          <w:tcPr>
            <w:tcW w:type="dxa" w:w="2160"/>
          </w:tcPr>
          <w:p>
            <w:r>
              <w:t>Access management</w:t>
            </w:r>
          </w:p>
        </w:tc>
        <w:tc>
          <w:tcPr>
            <w:tcW w:type="dxa" w:w="2160"/>
          </w:tcPr>
          <w:p>
            <w:r>
              <w:t>User access reviews, privileged access reviews, joiner-mover-leaver records, access approval logs</w:t>
            </w:r>
          </w:p>
        </w:tc>
        <w:tc>
          <w:tcPr>
            <w:tcW w:type="dxa" w:w="2160"/>
          </w:tcPr>
          <w:p>
            <w:r>
              <w:t>[IT / Security Operations]</w:t>
            </w:r>
          </w:p>
        </w:tc>
        <w:tc>
          <w:tcPr>
            <w:tcW w:type="dxa" w:w="2160"/>
          </w:tcPr>
          <w:p>
            <w:r>
              <w:t>[Monthly / Quarterly]</w:t>
            </w:r>
          </w:p>
        </w:tc>
      </w:tr>
      <w:tr>
        <w:tc>
          <w:tcPr>
            <w:tcW w:type="dxa" w:w="2160"/>
          </w:tcPr>
          <w:p>
            <w:r>
              <w:t>Change management</w:t>
            </w:r>
          </w:p>
        </w:tc>
        <w:tc>
          <w:tcPr>
            <w:tcW w:type="dxa" w:w="2160"/>
          </w:tcPr>
          <w:p>
            <w:r>
              <w:t>Change tickets, deployment approvals, testing evidence, emergency change reviews</w:t>
            </w:r>
          </w:p>
        </w:tc>
        <w:tc>
          <w:tcPr>
            <w:tcW w:type="dxa" w:w="2160"/>
          </w:tcPr>
          <w:p>
            <w:r>
              <w:t>[Engineering / IT Operations]</w:t>
            </w:r>
          </w:p>
        </w:tc>
        <w:tc>
          <w:tcPr>
            <w:tcW w:type="dxa" w:w="2160"/>
          </w:tcPr>
          <w:p>
            <w:r>
              <w:t>[Continuous / Monthly]</w:t>
            </w:r>
          </w:p>
        </w:tc>
      </w:tr>
      <w:tr>
        <w:tc>
          <w:tcPr>
            <w:tcW w:type="dxa" w:w="2160"/>
          </w:tcPr>
          <w:p>
            <w:r>
              <w:t>Vulnerability management</w:t>
            </w:r>
          </w:p>
        </w:tc>
        <w:tc>
          <w:tcPr>
            <w:tcW w:type="dxa" w:w="2160"/>
          </w:tcPr>
          <w:p>
            <w:r>
              <w:t>Vulnerability scan results, remediation tracking, risk acceptance records, penetration test remediation status</w:t>
            </w:r>
          </w:p>
        </w:tc>
        <w:tc>
          <w:tcPr>
            <w:tcW w:type="dxa" w:w="2160"/>
          </w:tcPr>
          <w:p>
            <w:r>
              <w:t>[Security Operations]</w:t>
            </w:r>
          </w:p>
        </w:tc>
        <w:tc>
          <w:tcPr>
            <w:tcW w:type="dxa" w:w="2160"/>
          </w:tcPr>
          <w:p>
            <w:r>
              <w:t>[Continuous / Monthly]</w:t>
            </w:r>
          </w:p>
        </w:tc>
      </w:tr>
      <w:tr>
        <w:tc>
          <w:tcPr>
            <w:tcW w:type="dxa" w:w="2160"/>
          </w:tcPr>
          <w:p>
            <w:r>
              <w:t>Incident management</w:t>
            </w:r>
          </w:p>
        </w:tc>
        <w:tc>
          <w:tcPr>
            <w:tcW w:type="dxa" w:w="2160"/>
          </w:tcPr>
          <w:p>
            <w:r>
              <w:t>Incident tickets, security event reviews, incident response records, post-incident reviews</w:t>
            </w:r>
          </w:p>
        </w:tc>
        <w:tc>
          <w:tcPr>
            <w:tcW w:type="dxa" w:w="2160"/>
          </w:tcPr>
          <w:p>
            <w:r>
              <w:t>[Security Operations]</w:t>
            </w:r>
          </w:p>
        </w:tc>
        <w:tc>
          <w:tcPr>
            <w:tcW w:type="dxa" w:w="2160"/>
          </w:tcPr>
          <w:p>
            <w:r>
              <w:t>[Continuous / As needed]</w:t>
            </w:r>
          </w:p>
        </w:tc>
      </w:tr>
      <w:tr>
        <w:tc>
          <w:tcPr>
            <w:tcW w:type="dxa" w:w="2160"/>
          </w:tcPr>
          <w:p>
            <w:r>
              <w:t>Availability and resilience</w:t>
            </w:r>
          </w:p>
        </w:tc>
        <w:tc>
          <w:tcPr>
            <w:tcW w:type="dxa" w:w="2160"/>
          </w:tcPr>
          <w:p>
            <w:r>
              <w:t>Uptime reports, monitoring alerts, backup job records, disaster recovery test results, capacity review records</w:t>
            </w:r>
          </w:p>
        </w:tc>
        <w:tc>
          <w:tcPr>
            <w:tcW w:type="dxa" w:w="2160"/>
          </w:tcPr>
          <w:p>
            <w:r>
              <w:t>[Infrastructure / SRE]</w:t>
            </w:r>
          </w:p>
        </w:tc>
        <w:tc>
          <w:tcPr>
            <w:tcW w:type="dxa" w:w="2160"/>
          </w:tcPr>
          <w:p>
            <w:r>
              <w:t>[Continuous / Monthly]</w:t>
            </w:r>
          </w:p>
        </w:tc>
      </w:tr>
      <w:tr>
        <w:tc>
          <w:tcPr>
            <w:tcW w:type="dxa" w:w="2160"/>
          </w:tcPr>
          <w:p>
            <w:r>
              <w:t>Vendor management</w:t>
            </w:r>
          </w:p>
        </w:tc>
        <w:tc>
          <w:tcPr>
            <w:tcW w:type="dxa" w:w="2160"/>
          </w:tcPr>
          <w:p>
            <w:r>
              <w:t>Vendor assessments, due diligence records, SOC reports or equivalent assurance documents, vendor risk reviews</w:t>
            </w:r>
          </w:p>
        </w:tc>
        <w:tc>
          <w:tcPr>
            <w:tcW w:type="dxa" w:w="2160"/>
          </w:tcPr>
          <w:p>
            <w:r>
              <w:t>[Procurement / GRC]</w:t>
            </w:r>
          </w:p>
        </w:tc>
        <w:tc>
          <w:tcPr>
            <w:tcW w:type="dxa" w:w="2160"/>
          </w:tcPr>
          <w:p>
            <w:r>
              <w:t>[Annual / Event-driven]</w:t>
            </w:r>
          </w:p>
        </w:tc>
      </w:tr>
      <w:tr>
        <w:tc>
          <w:tcPr>
            <w:tcW w:type="dxa" w:w="2160"/>
          </w:tcPr>
          <w:p>
            <w:r>
              <w:t>Data protection</w:t>
            </w:r>
          </w:p>
        </w:tc>
        <w:tc>
          <w:tcPr>
            <w:tcW w:type="dxa" w:w="2160"/>
          </w:tcPr>
          <w:p>
            <w:r>
              <w:t>Data handling reviews, encryption configuration records, data retention reviews, privacy impact reviews</w:t>
            </w:r>
          </w:p>
        </w:tc>
        <w:tc>
          <w:tcPr>
            <w:tcW w:type="dxa" w:w="2160"/>
          </w:tcPr>
          <w:p>
            <w:r>
              <w:t>[Privacy / Security]</w:t>
            </w:r>
          </w:p>
        </w:tc>
        <w:tc>
          <w:tcPr>
            <w:tcW w:type="dxa" w:w="2160"/>
          </w:tcPr>
          <w:p>
            <w:r>
              <w:t>[Periodic / Event-driven]</w:t>
            </w:r>
          </w:p>
        </w:tc>
      </w:tr>
      <w:tr>
        <w:tc>
          <w:tcPr>
            <w:tcW w:type="dxa" w:w="2160"/>
          </w:tcPr>
          <w:p>
            <w:r>
              <w:t>Compliance monitoring</w:t>
            </w:r>
          </w:p>
        </w:tc>
        <w:tc>
          <w:tcPr>
            <w:tcW w:type="dxa" w:w="2160"/>
          </w:tcPr>
          <w:p>
            <w:r>
              <w:t>Internal control testing results, exception tracking, remediation plans, management review records</w:t>
            </w:r>
          </w:p>
        </w:tc>
        <w:tc>
          <w:tcPr>
            <w:tcW w:type="dxa" w:w="2160"/>
          </w:tcPr>
          <w:p>
            <w:r>
              <w:t>[GRC / Compliance]</w:t>
            </w:r>
          </w:p>
        </w:tc>
        <w:tc>
          <w:tcPr>
            <w:tcW w:type="dxa" w:w="2160"/>
          </w:tcPr>
          <w:p>
            <w:r>
              <w:t>[Monthly / Quarterly]</w:t>
            </w:r>
          </w:p>
        </w:tc>
      </w:tr>
      <w:tr>
        <w:tc>
          <w:tcPr>
            <w:tcW w:type="dxa" w:w="2160"/>
          </w:tcPr>
          <w:p>
            <w:r>
              <w:t>Customer assurance</w:t>
            </w:r>
          </w:p>
        </w:tc>
        <w:tc>
          <w:tcPr>
            <w:tcW w:type="dxa" w:w="2160"/>
          </w:tcPr>
          <w:p>
            <w:r>
              <w:t>Customer security questionnaires, contractual security commitments, assurance request logs</w:t>
            </w:r>
          </w:p>
        </w:tc>
        <w:tc>
          <w:tcPr>
            <w:tcW w:type="dxa" w:w="2160"/>
          </w:tcPr>
          <w:p>
            <w:r>
              <w:t>[Trust / Legal / Sales Operations]</w:t>
            </w:r>
          </w:p>
        </w:tc>
        <w:tc>
          <w:tcPr>
            <w:tcW w:type="dxa" w:w="2160"/>
          </w:tcPr>
          <w:p>
            <w:r>
              <w:t>[As needed]</w:t>
            </w:r>
          </w:p>
        </w:tc>
      </w:tr>
    </w:tbl>
    <w:p>
      <w:r>
        <w:t>Management has considered whether the evidence reviewed indicates any material change, control failure, customer-impacting security event, or other matter that should be disclosed in this Bridge Letter.</w:t>
      </w:r>
    </w:p>
    <w:p>
      <w:r>
        <w:t>This Bridge Letter does not include copies of the underlying evidence. Supporting records are retained internally and may be made available to authorised reviewers at [Organisation Name]’s discretion, subject to confidentiality, legal, security, and contractual restrictions.</w:t>
      </w:r>
    </w:p>
    <w:p>
      <w:pPr>
        <w:pStyle w:val="Heading2"/>
      </w:pPr>
      <w:r>
        <w:t>Frequency</w:t>
      </w:r>
    </w:p>
    <w:p>
      <w:r>
        <w:t>A Bridge Letter may be issued when there is a time gap between the end of the most recent SOC 2 report period and the availability of the next SOC 2 report.</w:t>
      </w:r>
    </w:p>
    <w:tbl>
      <w:tblPr>
        <w:tblStyle w:val="TableGrid"/>
        <w:tblW w:type="auto" w:w="0"/>
        <w:tblLook w:firstColumn="1" w:firstRow="1" w:lastColumn="0" w:lastRow="0" w:noHBand="0" w:noVBand="1" w:val="04A0"/>
      </w:tblPr>
      <w:tblGrid>
        <w:gridCol w:w="4320"/>
        <w:gridCol w:w="4320"/>
      </w:tblGrid>
      <w:tr>
        <w:tc>
          <w:tcPr>
            <w:tcW w:type="dxa" w:w="4320"/>
          </w:tcPr>
          <w:p>
            <w:r>
              <w:t>Trigger</w:t>
            </w:r>
          </w:p>
        </w:tc>
        <w:tc>
          <w:tcPr>
            <w:tcW w:type="dxa" w:w="4320"/>
          </w:tcPr>
          <w:p>
            <w:r>
              <w:t>Expected Action</w:t>
            </w:r>
          </w:p>
        </w:tc>
      </w:tr>
      <w:tr>
        <w:tc>
          <w:tcPr>
            <w:tcW w:type="dxa" w:w="4320"/>
          </w:tcPr>
          <w:p>
            <w:r>
              <w:t>Customer requests assurance after the SOC 2 report period has ended</w:t>
            </w:r>
          </w:p>
        </w:tc>
        <w:tc>
          <w:tcPr>
            <w:tcW w:type="dxa" w:w="4320"/>
          </w:tcPr>
          <w:p>
            <w:r>
              <w:t>Issue the current approved Bridge Letter if the requester is authorised.</w:t>
            </w:r>
          </w:p>
        </w:tc>
      </w:tr>
      <w:tr>
        <w:tc>
          <w:tcPr>
            <w:tcW w:type="dxa" w:w="4320"/>
          </w:tcPr>
          <w:p>
            <w:r>
              <w:t>New SOC 2 report has been issued</w:t>
            </w:r>
          </w:p>
        </w:tc>
        <w:tc>
          <w:tcPr>
            <w:tcW w:type="dxa" w:w="4320"/>
          </w:tcPr>
          <w:p>
            <w:r>
              <w:t>Retire the prior Bridge Letter and provide the new SOC 2 report through the approved distribution process.</w:t>
            </w:r>
          </w:p>
        </w:tc>
      </w:tr>
      <w:tr>
        <w:tc>
          <w:tcPr>
            <w:tcW w:type="dxa" w:w="4320"/>
          </w:tcPr>
          <w:p>
            <w:r>
              <w:t>Material change or significant issue occurs during the bridge period</w:t>
            </w:r>
          </w:p>
        </w:tc>
        <w:tc>
          <w:tcPr>
            <w:tcW w:type="dxa" w:w="4320"/>
          </w:tcPr>
          <w:p>
            <w:r>
              <w:t>Review and update the Bridge Letter before further distribution.</w:t>
            </w:r>
          </w:p>
        </w:tc>
      </w:tr>
      <w:tr>
        <w:tc>
          <w:tcPr>
            <w:tcW w:type="dxa" w:w="4320"/>
          </w:tcPr>
          <w:p>
            <w:r>
              <w:t>Bridge period exceeds [90 / 120 / 180] days</w:t>
            </w:r>
          </w:p>
        </w:tc>
        <w:tc>
          <w:tcPr>
            <w:tcW w:type="dxa" w:w="4320"/>
          </w:tcPr>
          <w:p>
            <w:r>
              <w:t>Reassess whether issuing or extending the Bridge Letter remains appropriate.</w:t>
            </w:r>
          </w:p>
        </w:tc>
      </w:tr>
      <w:tr>
        <w:tc>
          <w:tcPr>
            <w:tcW w:type="dxa" w:w="4320"/>
          </w:tcPr>
          <w:p>
            <w:r>
              <w:t>New product, service, or environment is added</w:t>
            </w:r>
          </w:p>
        </w:tc>
        <w:tc>
          <w:tcPr>
            <w:tcW w:type="dxa" w:w="4320"/>
          </w:tcPr>
          <w:p>
            <w:r>
              <w:t>Confirm whether it is within the SOC 2 scope before including it in any customer assurance communication.</w:t>
            </w:r>
          </w:p>
        </w:tc>
      </w:tr>
    </w:tbl>
    <w:p>
      <w:r>
        <w:t>Unless otherwise approved by [Compliance / Legal / Executive Sponsor], this Bridge Letter should not cover a bridge period longer than [Maximum Bridge Period, e.g., 180 days]. If a longer gap exists, management should evaluate whether additional assurance procedures, a refreshed SOC 2 report, a targeted customer communication, or other evidence is appropriate.</w:t>
      </w:r>
    </w:p>
    <w:p>
      <w:r>
        <w:t>This Bridge Letter must be reviewed before each external distribution to confirm that the statements remain accurate as of the distribution date.</w:t>
      </w:r>
    </w:p>
    <w:p>
      <w:pPr>
        <w:pStyle w:val="Heading2"/>
      </w:pPr>
      <w:r>
        <w:t>Records &amp; Retention</w:t>
      </w:r>
    </w:p>
    <w:p>
      <w:r>
        <w:t>[Organisation Name] shall retain this Bridge Letter and related approval records in accordance with its records retention, legal, contractual, and audit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Record</w:t>
            </w:r>
          </w:p>
        </w:tc>
        <w:tc>
          <w:tcPr>
            <w:tcW w:type="dxa" w:w="2160"/>
          </w:tcPr>
          <w:p>
            <w:r>
              <w:t>Retention Period</w:t>
            </w:r>
          </w:p>
        </w:tc>
        <w:tc>
          <w:tcPr>
            <w:tcW w:type="dxa" w:w="2160"/>
          </w:tcPr>
          <w:p>
            <w:r>
              <w:t>System of Record</w:t>
            </w:r>
          </w:p>
        </w:tc>
        <w:tc>
          <w:tcPr>
            <w:tcW w:type="dxa" w:w="2160"/>
          </w:tcPr>
          <w:p>
            <w:r>
              <w:t>Owner</w:t>
            </w:r>
          </w:p>
        </w:tc>
      </w:tr>
      <w:tr>
        <w:tc>
          <w:tcPr>
            <w:tcW w:type="dxa" w:w="2160"/>
          </w:tcPr>
          <w:p>
            <w:r>
              <w:t>Final signed Bridge Letter</w:t>
            </w:r>
          </w:p>
        </w:tc>
        <w:tc>
          <w:tcPr>
            <w:tcW w:type="dxa" w:w="2160"/>
          </w:tcPr>
          <w:p>
            <w:r>
              <w:t>[Retention Period, e.g., 7 years]</w:t>
            </w:r>
          </w:p>
        </w:tc>
        <w:tc>
          <w:tcPr>
            <w:tcW w:type="dxa" w:w="2160"/>
          </w:tcPr>
          <w:p>
            <w:r>
              <w:t>[GRC Repository / Document Management System]</w:t>
            </w:r>
          </w:p>
        </w:tc>
        <w:tc>
          <w:tcPr>
            <w:tcW w:type="dxa" w:w="2160"/>
          </w:tcPr>
          <w:p>
            <w:r>
              <w:t>[Compliance / GRC]</w:t>
            </w:r>
          </w:p>
        </w:tc>
      </w:tr>
      <w:tr>
        <w:tc>
          <w:tcPr>
            <w:tcW w:type="dxa" w:w="2160"/>
          </w:tcPr>
          <w:p>
            <w:r>
              <w:t>Review and approval evidence</w:t>
            </w:r>
          </w:p>
        </w:tc>
        <w:tc>
          <w:tcPr>
            <w:tcW w:type="dxa" w:w="2160"/>
          </w:tcPr>
          <w:p>
            <w:r>
              <w:t>[Retention Period, e.g., 7 years]</w:t>
            </w:r>
          </w:p>
        </w:tc>
        <w:tc>
          <w:tcPr>
            <w:tcW w:type="dxa" w:w="2160"/>
          </w:tcPr>
          <w:p>
            <w:r>
              <w:t>[Workflow Tool / Ticketing System]</w:t>
            </w:r>
          </w:p>
        </w:tc>
        <w:tc>
          <w:tcPr>
            <w:tcW w:type="dxa" w:w="2160"/>
          </w:tcPr>
          <w:p>
            <w:r>
              <w:t>[Compliance / GRC]</w:t>
            </w:r>
          </w:p>
        </w:tc>
      </w:tr>
      <w:tr>
        <w:tc>
          <w:tcPr>
            <w:tcW w:type="dxa" w:w="2160"/>
          </w:tcPr>
          <w:p>
            <w:r>
              <w:t>Supporting control evidence referenced</w:t>
            </w:r>
          </w:p>
        </w:tc>
        <w:tc>
          <w:tcPr>
            <w:tcW w:type="dxa" w:w="2160"/>
          </w:tcPr>
          <w:p>
            <w:r>
              <w:t>[Retention Period, e.g., 3-7 years depending on evidence type]</w:t>
            </w:r>
          </w:p>
        </w:tc>
        <w:tc>
          <w:tcPr>
            <w:tcW w:type="dxa" w:w="2160"/>
          </w:tcPr>
          <w:p>
            <w:r>
              <w:t>[GRC Tool / Evidence Repository]</w:t>
            </w:r>
          </w:p>
        </w:tc>
        <w:tc>
          <w:tcPr>
            <w:tcW w:type="dxa" w:w="2160"/>
          </w:tcPr>
          <w:p>
            <w:r>
              <w:t>[Control Owners]</w:t>
            </w:r>
          </w:p>
        </w:tc>
      </w:tr>
      <w:tr>
        <w:tc>
          <w:tcPr>
            <w:tcW w:type="dxa" w:w="2160"/>
          </w:tcPr>
          <w:p>
            <w:r>
              <w:t>Customer distribution records</w:t>
            </w:r>
          </w:p>
        </w:tc>
        <w:tc>
          <w:tcPr>
            <w:tcW w:type="dxa" w:w="2160"/>
          </w:tcPr>
          <w:p>
            <w:r>
              <w:t>[Retention Period, e.g., 3 years]</w:t>
            </w:r>
          </w:p>
        </w:tc>
        <w:tc>
          <w:tcPr>
            <w:tcW w:type="dxa" w:w="2160"/>
          </w:tcPr>
          <w:p>
            <w:r>
              <w:t>[CRM / Trust Portal / Ticketing System]</w:t>
            </w:r>
          </w:p>
        </w:tc>
        <w:tc>
          <w:tcPr>
            <w:tcW w:type="dxa" w:w="2160"/>
          </w:tcPr>
          <w:p>
            <w:r>
              <w:t>[Trust / Sales Operations]</w:t>
            </w:r>
          </w:p>
        </w:tc>
      </w:tr>
      <w:tr>
        <w:tc>
          <w:tcPr>
            <w:tcW w:type="dxa" w:w="2160"/>
          </w:tcPr>
          <w:p>
            <w:r>
              <w:t>Superseded Bridge Letters</w:t>
            </w:r>
          </w:p>
        </w:tc>
        <w:tc>
          <w:tcPr>
            <w:tcW w:type="dxa" w:w="2160"/>
          </w:tcPr>
          <w:p>
            <w:r>
              <w:t>[Retention Period, e.g., 7 years]</w:t>
            </w:r>
          </w:p>
        </w:tc>
        <w:tc>
          <w:tcPr>
            <w:tcW w:type="dxa" w:w="2160"/>
          </w:tcPr>
          <w:p>
            <w:r>
              <w:t>[Document Management System]</w:t>
            </w:r>
          </w:p>
        </w:tc>
        <w:tc>
          <w:tcPr>
            <w:tcW w:type="dxa" w:w="2160"/>
          </w:tcPr>
          <w:p>
            <w:r>
              <w:t>[Compliance / GRC]</w:t>
            </w:r>
          </w:p>
        </w:tc>
      </w:tr>
      <w:tr>
        <w:tc>
          <w:tcPr>
            <w:tcW w:type="dxa" w:w="2160"/>
          </w:tcPr>
          <w:p>
            <w:r>
              <w:t>Related exception or disclosure records</w:t>
            </w:r>
          </w:p>
        </w:tc>
        <w:tc>
          <w:tcPr>
            <w:tcW w:type="dxa" w:w="2160"/>
          </w:tcPr>
          <w:p>
            <w:r>
              <w:t>[Retention Period, e.g., 7 years]</w:t>
            </w:r>
          </w:p>
        </w:tc>
        <w:tc>
          <w:tcPr>
            <w:tcW w:type="dxa" w:w="2160"/>
          </w:tcPr>
          <w:p>
            <w:r>
              <w:t>[Risk Register / Issue Tracker]</w:t>
            </w:r>
          </w:p>
        </w:tc>
        <w:tc>
          <w:tcPr>
            <w:tcW w:type="dxa" w:w="2160"/>
          </w:tcPr>
          <w:p>
            <w:r>
              <w:t>[Risk / Compliance]</w:t>
            </w:r>
          </w:p>
        </w:tc>
      </w:tr>
    </w:tbl>
    <w:p>
      <w:r>
        <w:t>Bridge Letters shall be version-controlled and protected from unauthorised modification. External distribution must occur only through approved channels, such as [Trust Portal], [Customer Success], [Legal], or [Compliance], and only after confirmation that the recipient is authorised to receive customer-confidential assurance materials.</w:t>
      </w:r>
    </w:p>
    <w:p>
      <w:r>
        <w:t>Superseded versions must be clearly marked as retired or archived to prevent accidental distribution. If a previously issued Bridge Letter is later found to contain a material inaccuracy, [Compliance / Legal / Executive Sponsor] must assess whether customer notification, corrective communication, or other action is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