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Governance Charter / Framework Document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[GOV-POL-001]</w:t>
            </w:r>
          </w:p>
        </w:tc>
        <w:tc>
          <w:tcPr>
            <w:tcW w:type="dxa" w:w="1440"/>
          </w:tcPr>
          <w:p>
            <w:r>
              <w:t>1.0</w:t>
            </w:r>
          </w:p>
        </w:tc>
        <w:tc>
          <w:tcPr>
            <w:tcW w:type="dxa" w:w="1440"/>
          </w:tcPr>
          <w:p>
            <w:r>
              <w:t>[Board Governance Committee / CIO / Head of Governance]</w:t>
            </w:r>
          </w:p>
        </w:tc>
        <w:tc>
          <w:tcPr>
            <w:tcW w:type="dxa" w:w="1440"/>
          </w:tcPr>
          <w:p>
            <w:r>
              <w:t>[YYYY-MM-DD]</w:t>
            </w:r>
          </w:p>
        </w:tc>
        <w:tc>
          <w:tcPr>
            <w:tcW w:type="dxa" w:w="1440"/>
          </w:tcPr>
          <w:p>
            <w:r>
              <w:t>COBIT 2019</w:t>
            </w:r>
          </w:p>
        </w:tc>
        <w:tc>
          <w:tcPr>
            <w:tcW w:type="dxa" w:w="1440"/>
          </w:tcPr>
          <w:p>
            <w:r>
              <w:t>Internal</w:t>
            </w:r>
          </w:p>
        </w:tc>
      </w:tr>
    </w:tbl>
    <w:p>
      <w:pPr>
        <w:pStyle w:val="Heading2"/>
      </w:pPr>
      <w:r>
        <w:t>Purpose</w:t>
      </w:r>
    </w:p>
    <w:p>
      <w:r>
        <w:t>This Governance Charter / Framework Document establishes the organisation’s policy for governing enterprise information and technology in alignment with COBIT 2019 principles and practices.</w:t>
      </w:r>
    </w:p>
    <w:p>
      <w:r>
        <w:t>The purpose of this Policy is to set the tone from the top, define the governance system for information and technology, assign decision rights and accountability, and ensure that technology-enabled investments, services, risks and resources are directed and controlled to support enterprise objectives.</w:t>
      </w:r>
    </w:p>
    <w:p>
      <w:r>
        <w:t>This Policy provides mandatory requirements for:</w:t>
      </w:r>
    </w:p>
    <w:p>
      <w:pPr>
        <w:pStyle w:val="ListBullet"/>
      </w:pPr>
      <w:r>
        <w:t>Establishing governance direction and oversight for information and technology.</w:t>
      </w:r>
    </w:p>
    <w:p>
      <w:pPr>
        <w:pStyle w:val="ListBullet"/>
      </w:pPr>
      <w:r>
        <w:t>Aligning technology strategy, investment and operations with business objectives.</w:t>
      </w:r>
    </w:p>
    <w:p>
      <w:pPr>
        <w:pStyle w:val="ListBullet"/>
      </w:pPr>
      <w:r>
        <w:t>Creating accountability for value delivery, risk optimisation and resource optimisation.</w:t>
      </w:r>
    </w:p>
    <w:p>
      <w:pPr>
        <w:pStyle w:val="ListBullet"/>
      </w:pPr>
      <w:r>
        <w:t>Ensuring stakeholder needs are considered in technology-related decisions.</w:t>
      </w:r>
    </w:p>
    <w:p>
      <w:pPr>
        <w:pStyle w:val="ListBullet"/>
      </w:pPr>
      <w:r>
        <w:t>Maintaining a consistent governance system that is measurable, transparent and auditable.</w:t>
      </w:r>
    </w:p>
    <w:p>
      <w:pPr>
        <w:pStyle w:val="Heading2"/>
      </w:pPr>
      <w:r>
        <w:t>Scope</w:t>
      </w:r>
    </w:p>
    <w:p>
      <w:r>
        <w:t>This Policy applies to:</w:t>
      </w:r>
    </w:p>
    <w:p>
      <w:pPr>
        <w:pStyle w:val="ListBullet"/>
      </w:pPr>
      <w:r>
        <w:t>The Board, executive management, business leaders, technology leaders and all governance bodies involved in information and technology decision-making.</w:t>
      </w:r>
    </w:p>
    <w:p>
      <w:pPr>
        <w:pStyle w:val="ListBullet"/>
      </w:pPr>
      <w:r>
        <w:t>All employees, contractors, consultants, service providers and third parties who influence, manage, operate or support information and technology assets or services on behalf of the organisation.</w:t>
      </w:r>
    </w:p>
    <w:p>
      <w:pPr>
        <w:pStyle w:val="ListBullet"/>
      </w:pPr>
      <w:r>
        <w:t>All information and technology capabilities, including applications, infrastructure, data, cloud services, cybersecurity capabilities, digital products, outsourced services, projects, programmes and technology-enabled business processes.</w:t>
      </w:r>
    </w:p>
    <w:p>
      <w:pPr>
        <w:pStyle w:val="ListBullet"/>
      </w:pPr>
      <w:r>
        <w:t>All technology-related investments, initiatives, operating budgets, risk decisions, service performance decisions and major architectural choices.</w:t>
      </w:r>
    </w:p>
    <w:p>
      <w:pPr>
        <w:pStyle w:val="ListBullet"/>
      </w:pPr>
      <w:r>
        <w:t>All business units, subsidiaries and controlled entities within [Organisation Name], unless formally excluded through an approved exception.</w:t>
      </w:r>
    </w:p>
    <w:p>
      <w:r>
        <w:t>This Policy applies across the full lifecycle of information and technology, including planning, acquisition, development, implementation, operation, monitoring, retirement and disposal.</w:t>
      </w:r>
    </w:p>
    <w:p>
      <w:pPr>
        <w:pStyle w:val="Heading2"/>
      </w:pPr>
      <w:r>
        <w:t>Policy Statements</w:t>
      </w:r>
    </w:p>
    <w:p>
      <w:pPr>
        <w:pStyle w:val="ListBullet"/>
      </w:pPr>
      <w:r>
        <w:t>Governance System Establishment</w:t>
      </w:r>
    </w:p>
    <w:p>
      <w:r>
        <w:t>1.1. The organisation shall establish, maintain and operate a formal governance system for enterprise information and technology based on COBIT 2019.</w:t>
      </w:r>
    </w:p>
    <w:p>
      <w:r>
        <w:t>1.2. The governance system shall define how information and technology are evaluated, directed and monitored to support enterprise goals.</w:t>
      </w:r>
    </w:p>
    <w:p>
      <w:r>
        <w:t>1.3. The governance system shall include documented decision rights, accountability structures, governance bodies, reporting mechanisms, performance measures and escalation paths.</w:t>
      </w:r>
    </w:p>
    <w:p>
      <w:r>
        <w:t>1.4. The governance system shall be approved by the Board or delegated governing authority.</w:t>
      </w:r>
    </w:p>
    <w:p>
      <w:pPr>
        <w:pStyle w:val="ListBullet"/>
      </w:pPr>
      <w:r>
        <w:t>Tone from the Top</w:t>
      </w:r>
    </w:p>
    <w:p>
      <w:r>
        <w:t>2.1. The Board and executive management shall demonstrate visible commitment to effective governance of information and technology.</w:t>
      </w:r>
    </w:p>
    <w:p>
      <w:r>
        <w:t>2.2. Executive leadership shall communicate that information and technology decisions must support enterprise value, responsible risk-taking, regulatory obligations, ethical conduct and stakeholder expectations.</w:t>
      </w:r>
    </w:p>
    <w:p>
      <w:r>
        <w:t>2.3. Senior leaders shall ensure that governance requirements are embedded into business planning, investment approval, risk management, performance management and operational oversight.</w:t>
      </w:r>
    </w:p>
    <w:p>
      <w:pPr>
        <w:pStyle w:val="ListBullet"/>
      </w:pPr>
      <w:r>
        <w:t>Alignment with Enterprise Objectives</w:t>
      </w:r>
    </w:p>
    <w:p>
      <w:r>
        <w:t>3.1. Information and technology objectives shall be aligned with approved enterprise strategy, business plans and stakeholder needs.</w:t>
      </w:r>
    </w:p>
    <w:p>
      <w:r>
        <w:t>3.2. Technology-related initiatives shall demonstrate a clear link to one or more enterprise objectives before funding or approval.</w:t>
      </w:r>
    </w:p>
    <w:p>
      <w:r>
        <w:t>3.3. The organisation shall maintain a documented linkage between enterprise goals, technology goals, key initiatives, measurable outcomes and accountable owners.</w:t>
      </w:r>
    </w:p>
    <w:p>
      <w:r>
        <w:t>3.4. Business and technology leaders shall jointly own the alignment of technology capabilities with business outcomes.</w:t>
      </w:r>
    </w:p>
    <w:p>
      <w:pPr>
        <w:pStyle w:val="ListBullet"/>
      </w:pPr>
      <w:r>
        <w:t>Stakeholder Needs and Decision Criteria</w:t>
      </w:r>
    </w:p>
    <w:p>
      <w:r>
        <w:t>4.1. Governance decisions shall consider the needs of relevant stakeholders, including customers, employees, business owners, regulators, partners, shareholders and service users.</w:t>
      </w:r>
    </w:p>
    <w:p>
      <w:r>
        <w:t>4.2. Material technology decisions shall consider value, risk, cost, resource impact, compliance obligations, operational resilience, information security, privacy, data quality and service sustainability.</w:t>
      </w:r>
    </w:p>
    <w:p>
      <w:r>
        <w:t>4.3. Governance bodies shall document the rationale for significant decisions, including options considered, benefits expected, risks accepted and conditions imposed.</w:t>
      </w:r>
    </w:p>
    <w:p>
      <w:pPr>
        <w:pStyle w:val="ListBullet"/>
      </w:pPr>
      <w:r>
        <w:t>Value Delivery</w:t>
      </w:r>
    </w:p>
    <w:p>
      <w:r>
        <w:t>5.1. The organisation shall ensure that technology-enabled investments and services deliver measurable value to the business.</w:t>
      </w:r>
    </w:p>
    <w:p>
      <w:r>
        <w:t>5.2. Business cases shall be required for material technology investments and shall define expected benefits, costs, risks, assumptions, dependencies, delivery milestones and benefit owners.</w:t>
      </w:r>
    </w:p>
    <w:p>
      <w:r>
        <w:t>5.3. Benefits shall be tracked throughout the lifecycle of the investment and after implementation.</w:t>
      </w:r>
    </w:p>
    <w:p>
      <w:r>
        <w:t>5.4. Investments that no longer demonstrate acceptable value, strategic alignment or delivery feasibility shall be escalated for corrective action, re-scoping, suspension or termination.</w:t>
      </w:r>
    </w:p>
    <w:p>
      <w:pPr>
        <w:pStyle w:val="ListBullet"/>
      </w:pPr>
      <w:r>
        <w:t>Risk Optimisation</w:t>
      </w:r>
    </w:p>
    <w:p>
      <w:r>
        <w:t>6.1. Technology-related risks shall be managed within the organisation’s approved risk appetite and enterprise risk management approach.</w:t>
      </w:r>
    </w:p>
    <w:p>
      <w:r>
        <w:t>6.2. Governance bodies shall receive sufficient, timely and accurate information to oversee significant technology, cyber, data, third-party, compliance and operational resilience risks.</w:t>
      </w:r>
    </w:p>
    <w:p>
      <w:r>
        <w:t>6.3. Risk acceptance decisions shall be made by authorised individuals or governance bodies with appropriate business accountability.</w:t>
      </w:r>
    </w:p>
    <w:p>
      <w:r>
        <w:t>6.4. Material technology risks exceeding approved tolerance shall be escalated to executive management and, where appropriate, the Board.</w:t>
      </w:r>
    </w:p>
    <w:p>
      <w:pPr>
        <w:pStyle w:val="ListBullet"/>
      </w:pPr>
      <w:r>
        <w:t>Resource Optimisation</w:t>
      </w:r>
    </w:p>
    <w:p>
      <w:r>
        <w:t>7.1. The organisation shall ensure that information and technology resources are planned, allocated, used and monitored effectively.</w:t>
      </w:r>
    </w:p>
    <w:p>
      <w:r>
        <w:t>7.2. Resource decisions shall consider workforce capability, budget availability, vendor capacity, architectural constraints, technology lifecycle status, security requirements and operational sustainability.</w:t>
      </w:r>
    </w:p>
    <w:p>
      <w:r>
        <w:t>7.3. Critical technology roles and skills shall be identified, maintained and periodically reviewed.</w:t>
      </w:r>
    </w:p>
    <w:p>
      <w:r>
        <w:t>7.4. The organisation shall manage technology assets, data assets, third-party services and infrastructure as enterprise resources requiring ownership, stewardship and lifecycle oversight.</w:t>
      </w:r>
    </w:p>
    <w:p>
      <w:pPr>
        <w:pStyle w:val="ListBullet"/>
      </w:pPr>
      <w:r>
        <w:t>Governance Structure and Bodies</w:t>
      </w:r>
    </w:p>
    <w:p>
      <w:r>
        <w:t>8.1. The organisation shall establish governance bodies appropriate to its size, complexity, risk profile and strategic dependence on information and technology.</w:t>
      </w:r>
    </w:p>
    <w:p>
      <w:r>
        <w:t>8.2. Governance bodies shall have documented mandates, membership, authority, meeting cadence, decision rights and reporting obligations.</w:t>
      </w:r>
    </w:p>
    <w:p>
      <w:r>
        <w:t>8.3. Governance bodies shall operate with appropriate representation from business, technology, risk, security, finance, legal, compliance, procurement and operations functions.</w:t>
      </w:r>
    </w:p>
    <w:p>
      <w:r>
        <w:t>8.4. Governance bodies shall maintain records of agendas, decisions, actions, approvals and escalations.</w:t>
      </w:r>
    </w:p>
    <w:p>
      <w:r>
        <w:t>Minimum governance structure: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Governance Body</w:t>
            </w:r>
          </w:p>
        </w:tc>
        <w:tc>
          <w:tcPr>
            <w:tcW w:type="dxa" w:w="1728"/>
          </w:tcPr>
          <w:p>
            <w:r>
              <w:t>Primary Purpose</w:t>
            </w:r>
          </w:p>
        </w:tc>
        <w:tc>
          <w:tcPr>
            <w:tcW w:type="dxa" w:w="1728"/>
          </w:tcPr>
          <w:p>
            <w:r>
              <w:t>Typical Chair</w:t>
            </w:r>
          </w:p>
        </w:tc>
        <w:tc>
          <w:tcPr>
            <w:tcW w:type="dxa" w:w="1728"/>
          </w:tcPr>
          <w:p>
            <w:r>
              <w:t>Minimum Meeting Cadence</w:t>
            </w:r>
          </w:p>
        </w:tc>
        <w:tc>
          <w:tcPr>
            <w:tcW w:type="dxa" w:w="1728"/>
          </w:tcPr>
          <w:p>
            <w:r>
              <w:t>Key Outputs</w:t>
            </w:r>
          </w:p>
        </w:tc>
      </w:tr>
      <w:tr>
        <w:tc>
          <w:tcPr>
            <w:tcW w:type="dxa" w:w="1728"/>
          </w:tcPr>
          <w:p>
            <w:r>
              <w:t>Board / Board Committee</w:t>
            </w:r>
          </w:p>
        </w:tc>
        <w:tc>
          <w:tcPr>
            <w:tcW w:type="dxa" w:w="1728"/>
          </w:tcPr>
          <w:p>
            <w:r>
              <w:t>Oversight of enterprise technology governance, strategic risk and major investments</w:t>
            </w:r>
          </w:p>
        </w:tc>
        <w:tc>
          <w:tcPr>
            <w:tcW w:type="dxa" w:w="1728"/>
          </w:tcPr>
          <w:p>
            <w:r>
              <w:t>Board Chair or Committee Chair</w:t>
            </w:r>
          </w:p>
        </w:tc>
        <w:tc>
          <w:tcPr>
            <w:tcW w:type="dxa" w:w="1728"/>
          </w:tcPr>
          <w:p>
            <w:r>
              <w:t>Quarterly</w:t>
            </w:r>
          </w:p>
        </w:tc>
        <w:tc>
          <w:tcPr>
            <w:tcW w:type="dxa" w:w="1728"/>
          </w:tcPr>
          <w:p>
            <w:r>
              <w:t>Direction, oversight decisions, risk and performance review</w:t>
            </w:r>
          </w:p>
        </w:tc>
      </w:tr>
      <w:tr>
        <w:tc>
          <w:tcPr>
            <w:tcW w:type="dxa" w:w="1728"/>
          </w:tcPr>
          <w:p>
            <w:r>
              <w:t>Executive Technology Governance Committee</w:t>
            </w:r>
          </w:p>
        </w:tc>
        <w:tc>
          <w:tcPr>
            <w:tcW w:type="dxa" w:w="1728"/>
          </w:tcPr>
          <w:p>
            <w:r>
              <w:t>Executive direction for technology strategy, investment portfolio, risk and performance</w:t>
            </w:r>
          </w:p>
        </w:tc>
        <w:tc>
          <w:tcPr>
            <w:tcW w:type="dxa" w:w="1728"/>
          </w:tcPr>
          <w:p>
            <w:r>
              <w:t>CEO, COO, CIO or delegated executive</w:t>
            </w:r>
          </w:p>
        </w:tc>
        <w:tc>
          <w:tcPr>
            <w:tcW w:type="dxa" w:w="1728"/>
          </w:tcPr>
          <w:p>
            <w:r>
              <w:t>Monthly</w:t>
            </w:r>
          </w:p>
        </w:tc>
        <w:tc>
          <w:tcPr>
            <w:tcW w:type="dxa" w:w="1728"/>
          </w:tcPr>
          <w:p>
            <w:r>
              <w:t>Prioritisation decisions, funding recommendations, issue escalation</w:t>
            </w:r>
          </w:p>
        </w:tc>
      </w:tr>
      <w:tr>
        <w:tc>
          <w:tcPr>
            <w:tcW w:type="dxa" w:w="1728"/>
          </w:tcPr>
          <w:p>
            <w:r>
              <w:t>Technology Portfolio Board</w:t>
            </w:r>
          </w:p>
        </w:tc>
        <w:tc>
          <w:tcPr>
            <w:tcW w:type="dxa" w:w="1728"/>
          </w:tcPr>
          <w:p>
            <w:r>
              <w:t>Oversight of technology programmes, projects, benefits and delivery performance</w:t>
            </w:r>
          </w:p>
        </w:tc>
        <w:tc>
          <w:tcPr>
            <w:tcW w:type="dxa" w:w="1728"/>
          </w:tcPr>
          <w:p>
            <w:r>
              <w:t>CIO or Portfolio Executive</w:t>
            </w:r>
          </w:p>
        </w:tc>
        <w:tc>
          <w:tcPr>
            <w:tcW w:type="dxa" w:w="1728"/>
          </w:tcPr>
          <w:p>
            <w:r>
              <w:t>Monthly</w:t>
            </w:r>
          </w:p>
        </w:tc>
        <w:tc>
          <w:tcPr>
            <w:tcW w:type="dxa" w:w="1728"/>
          </w:tcPr>
          <w:p>
            <w:r>
              <w:t>Portfolio status, delivery decisions, benefit tracking</w:t>
            </w:r>
          </w:p>
        </w:tc>
      </w:tr>
      <w:tr>
        <w:tc>
          <w:tcPr>
            <w:tcW w:type="dxa" w:w="1728"/>
          </w:tcPr>
          <w:p>
            <w:r>
              <w:t>Architecture Review Board</w:t>
            </w:r>
          </w:p>
        </w:tc>
        <w:tc>
          <w:tcPr>
            <w:tcW w:type="dxa" w:w="1728"/>
          </w:tcPr>
          <w:p>
            <w:r>
              <w:t>Governance of enterprise architecture, standards, integration and technology choices</w:t>
            </w:r>
          </w:p>
        </w:tc>
        <w:tc>
          <w:tcPr>
            <w:tcW w:type="dxa" w:w="1728"/>
          </w:tcPr>
          <w:p>
            <w:r>
              <w:t>Chief Architect or delegated owner</w:t>
            </w:r>
          </w:p>
        </w:tc>
        <w:tc>
          <w:tcPr>
            <w:tcW w:type="dxa" w:w="1728"/>
          </w:tcPr>
          <w:p>
            <w:r>
              <w:t>Monthly or as needed</w:t>
            </w:r>
          </w:p>
        </w:tc>
        <w:tc>
          <w:tcPr>
            <w:tcW w:type="dxa" w:w="1728"/>
          </w:tcPr>
          <w:p>
            <w:r>
              <w:t>Architecture approvals, standards exceptions, design decisions</w:t>
            </w:r>
          </w:p>
        </w:tc>
      </w:tr>
      <w:tr>
        <w:tc>
          <w:tcPr>
            <w:tcW w:type="dxa" w:w="1728"/>
          </w:tcPr>
          <w:p>
            <w:r>
              <w:t>Information Security and Risk Committee</w:t>
            </w:r>
          </w:p>
        </w:tc>
        <w:tc>
          <w:tcPr>
            <w:tcW w:type="dxa" w:w="1728"/>
          </w:tcPr>
          <w:p>
            <w:r>
              <w:t>Oversight of cyber risk, technology risk, control effectiveness and risk treatment</w:t>
            </w:r>
          </w:p>
        </w:tc>
        <w:tc>
          <w:tcPr>
            <w:tcW w:type="dxa" w:w="1728"/>
          </w:tcPr>
          <w:p>
            <w:r>
              <w:t>CISO, CRO or delegated executive</w:t>
            </w:r>
          </w:p>
        </w:tc>
        <w:tc>
          <w:tcPr>
            <w:tcW w:type="dxa" w:w="1728"/>
          </w:tcPr>
          <w:p>
            <w:r>
              <w:t>Monthly</w:t>
            </w:r>
          </w:p>
        </w:tc>
        <w:tc>
          <w:tcPr>
            <w:tcW w:type="dxa" w:w="1728"/>
          </w:tcPr>
          <w:p>
            <w:r>
              <w:t>Risk decisions, treatment priorities, escalation items</w:t>
            </w:r>
          </w:p>
        </w:tc>
      </w:tr>
      <w:tr>
        <w:tc>
          <w:tcPr>
            <w:tcW w:type="dxa" w:w="1728"/>
          </w:tcPr>
          <w:p>
            <w:r>
              <w:t>Data Governance Forum</w:t>
            </w:r>
          </w:p>
        </w:tc>
        <w:tc>
          <w:tcPr>
            <w:tcW w:type="dxa" w:w="1728"/>
          </w:tcPr>
          <w:p>
            <w:r>
              <w:t>Oversight of data ownership, quality, classification, retention and use</w:t>
            </w:r>
          </w:p>
        </w:tc>
        <w:tc>
          <w:tcPr>
            <w:tcW w:type="dxa" w:w="1728"/>
          </w:tcPr>
          <w:p>
            <w:r>
              <w:t>Chief Data Officer or delegated owner</w:t>
            </w:r>
          </w:p>
        </w:tc>
        <w:tc>
          <w:tcPr>
            <w:tcW w:type="dxa" w:w="1728"/>
          </w:tcPr>
          <w:p>
            <w:r>
              <w:t>Monthly or quarterly</w:t>
            </w:r>
          </w:p>
        </w:tc>
        <w:tc>
          <w:tcPr>
            <w:tcW w:type="dxa" w:w="1728"/>
          </w:tcPr>
          <w:p>
            <w:r>
              <w:t>Data decisions, issue resolution, stewardship actions</w:t>
            </w:r>
          </w:p>
        </w:tc>
      </w:tr>
    </w:tbl>
    <w:p>
      <w:pPr>
        <w:pStyle w:val="ListBullet"/>
      </w:pPr>
      <w:r>
        <w:t>Decision Rights and Accountability</w:t>
      </w:r>
    </w:p>
    <w:p>
      <w:r>
        <w:t>9.1. The organisation shall define and maintain clear decision rights for technology strategy, investment approval, risk acceptance, architecture, sourcing, security, data, service performance and major change.</w:t>
      </w:r>
    </w:p>
    <w:p>
      <w:r>
        <w:t>9.2. Decision rights shall distinguish between those who recommend, approve, execute, monitor and are accountable for outcomes.</w:t>
      </w:r>
    </w:p>
    <w:p>
      <w:r>
        <w:t>9.3. No material technology decision shall be made without an identified accountable business owner and an identified accountable technology owner.</w:t>
      </w:r>
    </w:p>
    <w:p>
      <w:r>
        <w:t>9.4. Accountability for governance decisions shall not be transferred to third parties, although execution activities may be outsourced where appropriately controlled.</w:t>
      </w:r>
    </w:p>
    <w:p>
      <w:pPr>
        <w:pStyle w:val="ListBullet"/>
      </w:pPr>
      <w:r>
        <w:t>Policies, Principles and Management Practices</w:t>
      </w:r>
    </w:p>
    <w:p>
      <w:r>
        <w:t>10.1. The organisation shall maintain a coherent set of supporting policies, standards, processes and practices for information and technology governance and management.</w:t>
      </w:r>
    </w:p>
    <w:p>
      <w:r>
        <w:t>10.2. Supporting documents shall be consistent with this Policy and shall address, at minimum, technology strategy, portfolio management, enterprise architecture, information security, data governance, service management, change management, third-party management, business continuity, incident management and technology risk management.</w:t>
      </w:r>
    </w:p>
    <w:p>
      <w:r>
        <w:t>10.3. Conflicts between supporting documents and this Policy shall be escalated to the Policy Owner for resolution.</w:t>
      </w:r>
    </w:p>
    <w:p>
      <w:pPr>
        <w:pStyle w:val="ListBullet"/>
      </w:pPr>
      <w:r>
        <w:t>Performance Measurement</w:t>
      </w:r>
    </w:p>
    <w:p>
      <w:r>
        <w:t>11.1. The organisation shall define and monitor performance indicators for technology governance, delivery, risk, resources and service outcomes.</w:t>
      </w:r>
    </w:p>
    <w:p>
      <w:r>
        <w:t>11.2. Performance measures shall include both business outcome measures and technology performance measures.</w:t>
      </w:r>
    </w:p>
    <w:p>
      <w:r>
        <w:t>11.3. Governance reporting shall be accurate, timely, decision-useful and appropriate for the audience.</w:t>
      </w:r>
    </w:p>
    <w:p>
      <w:r>
        <w:t>11.4. Persistent underperformance against approved thresholds shall be subject to corrective action and executive oversight.</w:t>
      </w:r>
    </w:p>
    <w:p>
      <w:r>
        <w:t>Minimum reporting expectations: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Reporting Area</w:t>
            </w:r>
          </w:p>
        </w:tc>
        <w:tc>
          <w:tcPr>
            <w:tcW w:type="dxa" w:w="2160"/>
          </w:tcPr>
          <w:p>
            <w:r>
              <w:t>Example Measures</w:t>
            </w:r>
          </w:p>
        </w:tc>
        <w:tc>
          <w:tcPr>
            <w:tcW w:type="dxa" w:w="2160"/>
          </w:tcPr>
          <w:p>
            <w:r>
              <w:t>Primary Audience</w:t>
            </w:r>
          </w:p>
        </w:tc>
        <w:tc>
          <w:tcPr>
            <w:tcW w:type="dxa" w:w="2160"/>
          </w:tcPr>
          <w:p>
            <w:r>
              <w:t>Minimum Frequency</w:t>
            </w:r>
          </w:p>
        </w:tc>
      </w:tr>
      <w:tr>
        <w:tc>
          <w:tcPr>
            <w:tcW w:type="dxa" w:w="2160"/>
          </w:tcPr>
          <w:p>
            <w:r>
              <w:t>Strategic alignment</w:t>
            </w:r>
          </w:p>
        </w:tc>
        <w:tc>
          <w:tcPr>
            <w:tcW w:type="dxa" w:w="2160"/>
          </w:tcPr>
          <w:p>
            <w:r>
              <w:t>Percentage of technology spend mapped to enterprise goals; status of strategic initiatives</w:t>
            </w:r>
          </w:p>
        </w:tc>
        <w:tc>
          <w:tcPr>
            <w:tcW w:type="dxa" w:w="2160"/>
          </w:tcPr>
          <w:p>
            <w:r>
              <w:t>Executive Technology Governance Committee</w:t>
            </w:r>
          </w:p>
        </w:tc>
        <w:tc>
          <w:tcPr>
            <w:tcW w:type="dxa" w:w="2160"/>
          </w:tcPr>
          <w:p>
            <w:r>
              <w:t>Monthly</w:t>
            </w:r>
          </w:p>
        </w:tc>
      </w:tr>
      <w:tr>
        <w:tc>
          <w:tcPr>
            <w:tcW w:type="dxa" w:w="2160"/>
          </w:tcPr>
          <w:p>
            <w:r>
              <w:t>Value delivery</w:t>
            </w:r>
          </w:p>
        </w:tc>
        <w:tc>
          <w:tcPr>
            <w:tcW w:type="dxa" w:w="2160"/>
          </w:tcPr>
          <w:p>
            <w:r>
              <w:t>Benefit realisation status; investment return indicators; cost variance</w:t>
            </w:r>
          </w:p>
        </w:tc>
        <w:tc>
          <w:tcPr>
            <w:tcW w:type="dxa" w:w="2160"/>
          </w:tcPr>
          <w:p>
            <w:r>
              <w:t>Portfolio Board; Executive Committee</w:t>
            </w:r>
          </w:p>
        </w:tc>
        <w:tc>
          <w:tcPr>
            <w:tcW w:type="dxa" w:w="2160"/>
          </w:tcPr>
          <w:p>
            <w:r>
              <w:t>Monthly</w:t>
            </w:r>
          </w:p>
        </w:tc>
      </w:tr>
      <w:tr>
        <w:tc>
          <w:tcPr>
            <w:tcW w:type="dxa" w:w="2160"/>
          </w:tcPr>
          <w:p>
            <w:r>
              <w:t>Risk posture</w:t>
            </w:r>
          </w:p>
        </w:tc>
        <w:tc>
          <w:tcPr>
            <w:tcW w:type="dxa" w:w="2160"/>
          </w:tcPr>
          <w:p>
            <w:r>
              <w:t>High-risk issues; overdue risk treatments; risk acceptances; control effectiveness</w:t>
            </w:r>
          </w:p>
        </w:tc>
        <w:tc>
          <w:tcPr>
            <w:tcW w:type="dxa" w:w="2160"/>
          </w:tcPr>
          <w:p>
            <w:r>
              <w:t>Security and Risk Committee; Board Committee</w:t>
            </w:r>
          </w:p>
        </w:tc>
        <w:tc>
          <w:tcPr>
            <w:tcW w:type="dxa" w:w="2160"/>
          </w:tcPr>
          <w:p>
            <w:r>
              <w:t>Monthly / Quarterly</w:t>
            </w:r>
          </w:p>
        </w:tc>
      </w:tr>
      <w:tr>
        <w:tc>
          <w:tcPr>
            <w:tcW w:type="dxa" w:w="2160"/>
          </w:tcPr>
          <w:p>
            <w:r>
              <w:t>Resource utilisation</w:t>
            </w:r>
          </w:p>
        </w:tc>
        <w:tc>
          <w:tcPr>
            <w:tcW w:type="dxa" w:w="2160"/>
          </w:tcPr>
          <w:p>
            <w:r>
              <w:t>Budget consumption; capacity constraints; critical skills gaps; vendor dependency</w:t>
            </w:r>
          </w:p>
        </w:tc>
        <w:tc>
          <w:tcPr>
            <w:tcW w:type="dxa" w:w="2160"/>
          </w:tcPr>
          <w:p>
            <w:r>
              <w:t>Executive Technology Governance Committee</w:t>
            </w:r>
          </w:p>
        </w:tc>
        <w:tc>
          <w:tcPr>
            <w:tcW w:type="dxa" w:w="2160"/>
          </w:tcPr>
          <w:p>
            <w:r>
              <w:t>Monthly</w:t>
            </w:r>
          </w:p>
        </w:tc>
      </w:tr>
      <w:tr>
        <w:tc>
          <w:tcPr>
            <w:tcW w:type="dxa" w:w="2160"/>
          </w:tcPr>
          <w:p>
            <w:r>
              <w:t>Service performance</w:t>
            </w:r>
          </w:p>
        </w:tc>
        <w:tc>
          <w:tcPr>
            <w:tcW w:type="dxa" w:w="2160"/>
          </w:tcPr>
          <w:p>
            <w:r>
              <w:t>Availability; incident trends; service level achievement; customer satisfaction</w:t>
            </w:r>
          </w:p>
        </w:tc>
        <w:tc>
          <w:tcPr>
            <w:tcW w:type="dxa" w:w="2160"/>
          </w:tcPr>
          <w:p>
            <w:r>
              <w:t>Service Owners; Executive Committee</w:t>
            </w:r>
          </w:p>
        </w:tc>
        <w:tc>
          <w:tcPr>
            <w:tcW w:type="dxa" w:w="2160"/>
          </w:tcPr>
          <w:p>
            <w:r>
              <w:t>Monthly</w:t>
            </w:r>
          </w:p>
        </w:tc>
      </w:tr>
      <w:tr>
        <w:tc>
          <w:tcPr>
            <w:tcW w:type="dxa" w:w="2160"/>
          </w:tcPr>
          <w:p>
            <w:r>
              <w:t>Compliance status</w:t>
            </w:r>
          </w:p>
        </w:tc>
        <w:tc>
          <w:tcPr>
            <w:tcW w:type="dxa" w:w="2160"/>
          </w:tcPr>
          <w:p>
            <w:r>
              <w:t>Policy exceptions; audit findings; regulatory issues; remediation progress</w:t>
            </w:r>
          </w:p>
        </w:tc>
        <w:tc>
          <w:tcPr>
            <w:tcW w:type="dxa" w:w="2160"/>
          </w:tcPr>
          <w:p>
            <w:r>
              <w:t>Compliance Function; Board Committee</w:t>
            </w:r>
          </w:p>
        </w:tc>
        <w:tc>
          <w:tcPr>
            <w:tcW w:type="dxa" w:w="2160"/>
          </w:tcPr>
          <w:p>
            <w:r>
              <w:t>Quarterly</w:t>
            </w:r>
          </w:p>
        </w:tc>
      </w:tr>
    </w:tbl>
    <w:p>
      <w:pPr>
        <w:pStyle w:val="ListBullet"/>
      </w:pPr>
      <w:r>
        <w:t>Information Quality for Governance</w:t>
      </w:r>
    </w:p>
    <w:p>
      <w:r>
        <w:t>12.1. Governance decisions shall be supported by reliable, relevant and timely information.</w:t>
      </w:r>
    </w:p>
    <w:p>
      <w:r>
        <w:t>12.2. Management reporting shall identify data sources, assumptions, limitations and known inaccuracies where these may affect decisions.</w:t>
      </w:r>
    </w:p>
    <w:p>
      <w:r>
        <w:t>12.3. Material misstatements, omissions or unreliable reporting affecting governance decisions shall be escalated and corrected promptly.</w:t>
      </w:r>
    </w:p>
    <w:p>
      <w:pPr>
        <w:pStyle w:val="ListBullet"/>
      </w:pPr>
      <w:r>
        <w:t>Integration with Enterprise Governance</w:t>
      </w:r>
    </w:p>
    <w:p>
      <w:r>
        <w:t>13.1. Information and technology governance shall be integrated with enterprise governance, risk management, compliance, financial management, strategic planning and internal audit activities.</w:t>
      </w:r>
    </w:p>
    <w:p>
      <w:r>
        <w:t>13.2. Technology governance decisions shall align with enterprise risk appetite, financial delegations, procurement requirements, legal obligations and corporate values.</w:t>
      </w:r>
    </w:p>
    <w:p>
      <w:r>
        <w:t>13.3. Major technology decisions shall be reflected in enterprise planning, budgeting and risk reporting processes.</w:t>
      </w:r>
    </w:p>
    <w:p>
      <w:pPr>
        <w:pStyle w:val="ListBullet"/>
      </w:pPr>
      <w:r>
        <w:t>Ethical, Legal and Responsible Use of Technology</w:t>
      </w:r>
    </w:p>
    <w:p>
      <w:r>
        <w:t>14.1. The organisation shall ensure that information and technology are used responsibly, lawfully and ethically.</w:t>
      </w:r>
    </w:p>
    <w:p>
      <w:r>
        <w:t>14.2. Governance decisions shall consider privacy, security, accessibility, fairness, transparency, sustainability and potential harm to stakeholders.</w:t>
      </w:r>
    </w:p>
    <w:p>
      <w:r>
        <w:t>14.3. Emerging technologies, including artificial intelligence, automation and advanced analytics, shall be subject to governance review before material deployment.</w:t>
      </w:r>
    </w:p>
    <w:p>
      <w:pPr>
        <w:pStyle w:val="ListBullet"/>
      </w:pPr>
      <w:r>
        <w:t>Third-Party and Outsourced Technology Governance</w:t>
      </w:r>
    </w:p>
    <w:p>
      <w:r>
        <w:t>15.1. The organisation shall retain governance accountability for information and technology services delivered by third parties.</w:t>
      </w:r>
    </w:p>
    <w:p>
      <w:r>
        <w:t>15.2. Material third-party technology arrangements shall be subject to due diligence, contractual controls, performance monitoring, risk review and exit planning.</w:t>
      </w:r>
    </w:p>
    <w:p>
      <w:r>
        <w:t>15.3. Governance reporting shall include material vendor risks, service performance issues, contractual non-compliance and concentration risks.</w:t>
      </w:r>
    </w:p>
    <w:p>
      <w:pPr>
        <w:pStyle w:val="ListBullet"/>
      </w:pPr>
      <w:r>
        <w:t>Continual Improvement</w:t>
      </w:r>
    </w:p>
    <w:p>
      <w:r>
        <w:t>16.1. The governance system shall be periodically assessed for effectiveness, maturity, efficiency and alignment with enterprise needs.</w:t>
      </w:r>
    </w:p>
    <w:p>
      <w:r>
        <w:t>16.2. Improvement actions shall be documented, prioritised, assigned to owners and tracked to completion.</w:t>
      </w:r>
    </w:p>
    <w:p>
      <w:r>
        <w:t>16.3. Lessons learned from incidents, audits, project outcomes, service failures, regulatory changes and stakeholder feedback shall be used to improve governance practices.</w:t>
      </w:r>
    </w:p>
    <w:p>
      <w:pPr>
        <w:pStyle w:val="ListBullet"/>
      </w:pPr>
      <w:r>
        <w:t>Independence and Oversight</w:t>
      </w:r>
    </w:p>
    <w:p>
      <w:r>
        <w:t>17.1. The organisation shall maintain appropriate separation between those who govern, those who manage and those who provide independent assurance.</w:t>
      </w:r>
    </w:p>
    <w:p>
      <w:r>
        <w:t>17.2. Internal audit, risk management, compliance and other assurance functions shall have sufficient access to information, records, systems and personnel to assess adherence to this Policy.</w:t>
      </w:r>
    </w:p>
    <w:p>
      <w:r>
        <w:t>17.3. Management shall not restrict or suppress governance information required for effective oversight.</w:t>
      </w:r>
    </w:p>
    <w:p>
      <w:pPr>
        <w:pStyle w:val="ListBullet"/>
      </w:pPr>
      <w:r>
        <w:t>Documentation and Record Retention</w:t>
      </w:r>
    </w:p>
    <w:p>
      <w:r>
        <w:t>18.1. Governance decisions, approvals, risk acceptances, exceptions, reports and action tracking records shall be documented and retained in accordance with the organisation’s records retention requirements.</w:t>
      </w:r>
    </w:p>
    <w:p>
      <w:r>
        <w:t>18.2. Records shall be complete enough to demonstrate who made the decision, when it was made, what information was considered, what decision was reached and what follow-up actions were required.</w:t>
      </w:r>
    </w:p>
    <w:p>
      <w:r>
        <w:t>18.3. Governance records shall be protected against unauthorised access, alteration or deletion.</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 / Body</w:t>
            </w:r>
          </w:p>
        </w:tc>
        <w:tc>
          <w:tcPr>
            <w:tcW w:type="dxa" w:w="4320"/>
          </w:tcPr>
          <w:p>
            <w:r>
              <w:t>Responsibilities</w:t>
            </w:r>
          </w:p>
        </w:tc>
      </w:tr>
      <w:tr>
        <w:tc>
          <w:tcPr>
            <w:tcW w:type="dxa" w:w="4320"/>
          </w:tcPr>
          <w:p>
            <w:r>
              <w:t>Board / Board Committee</w:t>
            </w:r>
          </w:p>
        </w:tc>
        <w:tc>
          <w:tcPr>
            <w:tcW w:type="dxa" w:w="4320"/>
          </w:tcPr>
          <w:p>
            <w:r>
              <w:t>Approves or endorses the governance direction for information and technology; oversees technology-enabled value, risk and resource optimisation; challenges executive management on major decisions, risks and performance; receives periodic governance reporting.</w:t>
            </w:r>
          </w:p>
        </w:tc>
      </w:tr>
      <w:tr>
        <w:tc>
          <w:tcPr>
            <w:tcW w:type="dxa" w:w="4320"/>
          </w:tcPr>
          <w:p>
            <w:r>
              <w:t>Chief Executive Officer</w:t>
            </w:r>
          </w:p>
        </w:tc>
        <w:tc>
          <w:tcPr>
            <w:tcW w:type="dxa" w:w="4320"/>
          </w:tcPr>
          <w:p>
            <w:r>
              <w:t>Ensures that information and technology governance supports enterprise strategy; holds executives accountable for business outcomes enabled by technology; promotes governance culture and ethical conduct.</w:t>
            </w:r>
          </w:p>
        </w:tc>
      </w:tr>
      <w:tr>
        <w:tc>
          <w:tcPr>
            <w:tcW w:type="dxa" w:w="4320"/>
          </w:tcPr>
          <w:p>
            <w:r>
              <w:t>Executive Management</w:t>
            </w:r>
          </w:p>
        </w:tc>
        <w:tc>
          <w:tcPr>
            <w:tcW w:type="dxa" w:w="4320"/>
          </w:tcPr>
          <w:p>
            <w:r>
              <w:t>Implements Board direction; ensures business units comply with this Policy; makes enterprise-level prioritisation decisions; resolves escalated conflicts; sponsors major technology-enabled change.</w:t>
            </w:r>
          </w:p>
        </w:tc>
      </w:tr>
      <w:tr>
        <w:tc>
          <w:tcPr>
            <w:tcW w:type="dxa" w:w="4320"/>
          </w:tcPr>
          <w:p>
            <w:r>
              <w:t>Policy Owner</w:t>
            </w:r>
          </w:p>
        </w:tc>
        <w:tc>
          <w:tcPr>
            <w:tcW w:type="dxa" w:w="4320"/>
          </w:tcPr>
          <w:p>
            <w:r>
              <w:t>Maintains this Policy; coordinates review and approval; interprets requirements; monitors adoption; manages exceptions; ensures supporting governance documents remain aligned.</w:t>
            </w:r>
          </w:p>
        </w:tc>
      </w:tr>
      <w:tr>
        <w:tc>
          <w:tcPr>
            <w:tcW w:type="dxa" w:w="4320"/>
          </w:tcPr>
          <w:p>
            <w:r>
              <w:t>Chief Information Officer / Technology Executive</w:t>
            </w:r>
          </w:p>
        </w:tc>
        <w:tc>
          <w:tcPr>
            <w:tcW w:type="dxa" w:w="4320"/>
          </w:tcPr>
          <w:p>
            <w:r>
              <w:t>Establishes technology management capabilities that support governance objectives; provides reliable reporting; ensures technology strategy, architecture, delivery and operations align with business priorities.</w:t>
            </w:r>
          </w:p>
        </w:tc>
      </w:tr>
      <w:tr>
        <w:tc>
          <w:tcPr>
            <w:tcW w:type="dxa" w:w="4320"/>
          </w:tcPr>
          <w:p>
            <w:r>
              <w:t>Chief Information Security Officer</w:t>
            </w:r>
          </w:p>
        </w:tc>
        <w:tc>
          <w:tcPr>
            <w:tcW w:type="dxa" w:w="4320"/>
          </w:tcPr>
          <w:p>
            <w:r>
              <w:t>Provides oversight of cybersecurity and technology risk; reports material risks and control issues; advises governance bodies on security requirements and risk treatment priorities.</w:t>
            </w:r>
          </w:p>
        </w:tc>
      </w:tr>
      <w:tr>
        <w:tc>
          <w:tcPr>
            <w:tcW w:type="dxa" w:w="4320"/>
          </w:tcPr>
          <w:p>
            <w:r>
              <w:t>Chief Risk Officer / Risk Function</w:t>
            </w:r>
          </w:p>
        </w:tc>
        <w:tc>
          <w:tcPr>
            <w:tcW w:type="dxa" w:w="4320"/>
          </w:tcPr>
          <w:p>
            <w:r>
              <w:t>Integrates technology risk into enterprise risk management; monitors risk appetite alignment; supports risk reporting, escalation and acceptance processes.</w:t>
            </w:r>
          </w:p>
        </w:tc>
      </w:tr>
      <w:tr>
        <w:tc>
          <w:tcPr>
            <w:tcW w:type="dxa" w:w="4320"/>
          </w:tcPr>
          <w:p>
            <w:r>
              <w:t>Chief Data Officer / Data Governance Lead</w:t>
            </w:r>
          </w:p>
        </w:tc>
        <w:tc>
          <w:tcPr>
            <w:tcW w:type="dxa" w:w="4320"/>
          </w:tcPr>
          <w:p>
            <w:r>
              <w:t>Establishes data governance practices; ensures data ownership, quality, classification, retention and responsible use are governed; escalates material data risks.</w:t>
            </w:r>
          </w:p>
        </w:tc>
      </w:tr>
      <w:tr>
        <w:tc>
          <w:tcPr>
            <w:tcW w:type="dxa" w:w="4320"/>
          </w:tcPr>
          <w:p>
            <w:r>
              <w:t>Chief Financial Officer / Finance Function</w:t>
            </w:r>
          </w:p>
        </w:tc>
        <w:tc>
          <w:tcPr>
            <w:tcW w:type="dxa" w:w="4320"/>
          </w:tcPr>
          <w:p>
            <w:r>
              <w:t>Ensures technology investment decisions align with financial governance; supports budgeting, cost transparency, benefit tracking and financial performance reporting.</w:t>
            </w:r>
          </w:p>
        </w:tc>
      </w:tr>
      <w:tr>
        <w:tc>
          <w:tcPr>
            <w:tcW w:type="dxa" w:w="4320"/>
          </w:tcPr>
          <w:p>
            <w:r>
              <w:t>Legal and Compliance Functions</w:t>
            </w:r>
          </w:p>
        </w:tc>
        <w:tc>
          <w:tcPr>
            <w:tcW w:type="dxa" w:w="4320"/>
          </w:tcPr>
          <w:p>
            <w:r>
              <w:t>Advise on legal, regulatory, contractual and compliance obligations affecting information and technology; monitor compliance-related issues and remediation.</w:t>
            </w:r>
          </w:p>
        </w:tc>
      </w:tr>
      <w:tr>
        <w:tc>
          <w:tcPr>
            <w:tcW w:type="dxa" w:w="4320"/>
          </w:tcPr>
          <w:p>
            <w:r>
              <w:t>Business Owners</w:t>
            </w:r>
          </w:p>
        </w:tc>
        <w:tc>
          <w:tcPr>
            <w:tcW w:type="dxa" w:w="4320"/>
          </w:tcPr>
          <w:p>
            <w:r>
              <w:t>Define business outcomes, sponsor technology-enabled initiatives, own benefits realisation, accept business risk within authority and ensure process changes are adopted.</w:t>
            </w:r>
          </w:p>
        </w:tc>
      </w:tr>
      <w:tr>
        <w:tc>
          <w:tcPr>
            <w:tcW w:type="dxa" w:w="4320"/>
          </w:tcPr>
          <w:p>
            <w:r>
              <w:t>Service Owners</w:t>
            </w:r>
          </w:p>
        </w:tc>
        <w:tc>
          <w:tcPr>
            <w:tcW w:type="dxa" w:w="4320"/>
          </w:tcPr>
          <w:p>
            <w:r>
              <w:t>Own service outcomes, performance, risk, lifecycle planning and user satisfaction for assigned technology services.</w:t>
            </w:r>
          </w:p>
        </w:tc>
      </w:tr>
      <w:tr>
        <w:tc>
          <w:tcPr>
            <w:tcW w:type="dxa" w:w="4320"/>
          </w:tcPr>
          <w:p>
            <w:r>
              <w:t>Enterprise Architecture Function</w:t>
            </w:r>
          </w:p>
        </w:tc>
        <w:tc>
          <w:tcPr>
            <w:tcW w:type="dxa" w:w="4320"/>
          </w:tcPr>
          <w:p>
            <w:r>
              <w:t>Defines and maintains architecture principles, standards and roadmaps; reviews material technology designs; manages architecture exceptions.</w:t>
            </w:r>
          </w:p>
        </w:tc>
      </w:tr>
      <w:tr>
        <w:tc>
          <w:tcPr>
            <w:tcW w:type="dxa" w:w="4320"/>
          </w:tcPr>
          <w:p>
            <w:r>
              <w:t>Programme and Project Sponsors</w:t>
            </w:r>
          </w:p>
        </w:tc>
        <w:tc>
          <w:tcPr>
            <w:tcW w:type="dxa" w:w="4320"/>
          </w:tcPr>
          <w:p>
            <w:r>
              <w:t>Ensure initiatives have approved business cases, accountable owners, defined benefits, controlled delivery and appropriate governance reporting.</w:t>
            </w:r>
          </w:p>
        </w:tc>
      </w:tr>
      <w:tr>
        <w:tc>
          <w:tcPr>
            <w:tcW w:type="dxa" w:w="4320"/>
          </w:tcPr>
          <w:p>
            <w:r>
              <w:t>Procurement / Vendor Management</w:t>
            </w:r>
          </w:p>
        </w:tc>
        <w:tc>
          <w:tcPr>
            <w:tcW w:type="dxa" w:w="4320"/>
          </w:tcPr>
          <w:p>
            <w:r>
              <w:t>Ensures technology sourcing and third-party arrangements comply with governance, risk, security, legal and commercial requirements.</w:t>
            </w:r>
          </w:p>
        </w:tc>
      </w:tr>
      <w:tr>
        <w:tc>
          <w:tcPr>
            <w:tcW w:type="dxa" w:w="4320"/>
          </w:tcPr>
          <w:p>
            <w:r>
              <w:t>Internal Audit</w:t>
            </w:r>
          </w:p>
        </w:tc>
        <w:tc>
          <w:tcPr>
            <w:tcW w:type="dxa" w:w="4320"/>
          </w:tcPr>
          <w:p>
            <w:r>
              <w:t>Provides independent assurance over the design and operating effectiveness of the governance system and related controls.</w:t>
            </w:r>
          </w:p>
        </w:tc>
      </w:tr>
      <w:tr>
        <w:tc>
          <w:tcPr>
            <w:tcW w:type="dxa" w:w="4320"/>
          </w:tcPr>
          <w:p>
            <w:r>
              <w:t>Employees, Contractors and Third Parties</w:t>
            </w:r>
          </w:p>
        </w:tc>
        <w:tc>
          <w:tcPr>
            <w:tcW w:type="dxa" w:w="4320"/>
          </w:tcPr>
          <w:p>
            <w:r>
              <w:t>Comply with this Policy and supporting requirements; provide accurate information for governance purposes; escalate risks, issues and non-compliance.</w:t>
            </w:r>
          </w:p>
        </w:tc>
      </w:tr>
    </w:tbl>
    <w:p>
      <w:r>
        <w:t>Key accountability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Governance Area</w:t>
            </w:r>
          </w:p>
        </w:tc>
        <w:tc>
          <w:tcPr>
            <w:tcW w:type="dxa" w:w="2160"/>
          </w:tcPr>
          <w:p>
            <w:r>
              <w:t>Accountable Owner</w:t>
            </w:r>
          </w:p>
        </w:tc>
        <w:tc>
          <w:tcPr>
            <w:tcW w:type="dxa" w:w="2160"/>
          </w:tcPr>
          <w:p>
            <w:r>
              <w:t>Key Decision Forum</w:t>
            </w:r>
          </w:p>
        </w:tc>
        <w:tc>
          <w:tcPr>
            <w:tcW w:type="dxa" w:w="2160"/>
          </w:tcPr>
          <w:p>
            <w:r>
              <w:t>Required Evidence</w:t>
            </w:r>
          </w:p>
        </w:tc>
      </w:tr>
      <w:tr>
        <w:tc>
          <w:tcPr>
            <w:tcW w:type="dxa" w:w="2160"/>
          </w:tcPr>
          <w:p>
            <w:r>
              <w:t>Technology strategy</w:t>
            </w:r>
          </w:p>
        </w:tc>
        <w:tc>
          <w:tcPr>
            <w:tcW w:type="dxa" w:w="2160"/>
          </w:tcPr>
          <w:p>
            <w:r>
              <w:t>CIO / Technology Executive</w:t>
            </w:r>
          </w:p>
        </w:tc>
        <w:tc>
          <w:tcPr>
            <w:tcW w:type="dxa" w:w="2160"/>
          </w:tcPr>
          <w:p>
            <w:r>
              <w:t>Executive Technology Governance Committee</w:t>
            </w:r>
          </w:p>
        </w:tc>
        <w:tc>
          <w:tcPr>
            <w:tcW w:type="dxa" w:w="2160"/>
          </w:tcPr>
          <w:p>
            <w:r>
              <w:t>Approved strategy, roadmap, performance reporting</w:t>
            </w:r>
          </w:p>
        </w:tc>
      </w:tr>
      <w:tr>
        <w:tc>
          <w:tcPr>
            <w:tcW w:type="dxa" w:w="2160"/>
          </w:tcPr>
          <w:p>
            <w:r>
              <w:t>Major technology investment</w:t>
            </w:r>
          </w:p>
        </w:tc>
        <w:tc>
          <w:tcPr>
            <w:tcW w:type="dxa" w:w="2160"/>
          </w:tcPr>
          <w:p>
            <w:r>
              <w:t>Business Sponsor</w:t>
            </w:r>
          </w:p>
        </w:tc>
        <w:tc>
          <w:tcPr>
            <w:tcW w:type="dxa" w:w="2160"/>
          </w:tcPr>
          <w:p>
            <w:r>
              <w:t>Executive Technology Governance Committee / Board where required</w:t>
            </w:r>
          </w:p>
        </w:tc>
        <w:tc>
          <w:tcPr>
            <w:tcW w:type="dxa" w:w="2160"/>
          </w:tcPr>
          <w:p>
            <w:r>
              <w:t>Business case, approval record, benefit plan</w:t>
            </w:r>
          </w:p>
        </w:tc>
      </w:tr>
      <w:tr>
        <w:tc>
          <w:tcPr>
            <w:tcW w:type="dxa" w:w="2160"/>
          </w:tcPr>
          <w:p>
            <w:r>
              <w:t>Technology risk acceptance</w:t>
            </w:r>
          </w:p>
        </w:tc>
        <w:tc>
          <w:tcPr>
            <w:tcW w:type="dxa" w:w="2160"/>
          </w:tcPr>
          <w:p>
            <w:r>
              <w:t>Accountable Business Owner</w:t>
            </w:r>
          </w:p>
        </w:tc>
        <w:tc>
          <w:tcPr>
            <w:tcW w:type="dxa" w:w="2160"/>
          </w:tcPr>
          <w:p>
            <w:r>
              <w:t>Security and Risk Committee or authorised executive</w:t>
            </w:r>
          </w:p>
        </w:tc>
        <w:tc>
          <w:tcPr>
            <w:tcW w:type="dxa" w:w="2160"/>
          </w:tcPr>
          <w:p>
            <w:r>
              <w:t>Risk assessment, acceptance record, review date</w:t>
            </w:r>
          </w:p>
        </w:tc>
      </w:tr>
      <w:tr>
        <w:tc>
          <w:tcPr>
            <w:tcW w:type="dxa" w:w="2160"/>
          </w:tcPr>
          <w:p>
            <w:r>
              <w:t>Enterprise architecture</w:t>
            </w:r>
          </w:p>
        </w:tc>
        <w:tc>
          <w:tcPr>
            <w:tcW w:type="dxa" w:w="2160"/>
          </w:tcPr>
          <w:p>
            <w:r>
              <w:t>Chief Architect</w:t>
            </w:r>
          </w:p>
        </w:tc>
        <w:tc>
          <w:tcPr>
            <w:tcW w:type="dxa" w:w="2160"/>
          </w:tcPr>
          <w:p>
            <w:r>
              <w:t>Architecture Review Board</w:t>
            </w:r>
          </w:p>
        </w:tc>
        <w:tc>
          <w:tcPr>
            <w:tcW w:type="dxa" w:w="2160"/>
          </w:tcPr>
          <w:p>
            <w:r>
              <w:t>Architecture decision record, standards assessment</w:t>
            </w:r>
          </w:p>
        </w:tc>
      </w:tr>
      <w:tr>
        <w:tc>
          <w:tcPr>
            <w:tcW w:type="dxa" w:w="2160"/>
          </w:tcPr>
          <w:p>
            <w:r>
              <w:t>Cybersecurity posture</w:t>
            </w:r>
          </w:p>
        </w:tc>
        <w:tc>
          <w:tcPr>
            <w:tcW w:type="dxa" w:w="2160"/>
          </w:tcPr>
          <w:p>
            <w:r>
              <w:t>CISO</w:t>
            </w:r>
          </w:p>
        </w:tc>
        <w:tc>
          <w:tcPr>
            <w:tcW w:type="dxa" w:w="2160"/>
          </w:tcPr>
          <w:p>
            <w:r>
              <w:t>Security and Risk Committee</w:t>
            </w:r>
          </w:p>
        </w:tc>
        <w:tc>
          <w:tcPr>
            <w:tcW w:type="dxa" w:w="2160"/>
          </w:tcPr>
          <w:p>
            <w:r>
              <w:t>Risk dashboard, control status, treatment plan</w:t>
            </w:r>
          </w:p>
        </w:tc>
      </w:tr>
      <w:tr>
        <w:tc>
          <w:tcPr>
            <w:tcW w:type="dxa" w:w="2160"/>
          </w:tcPr>
          <w:p>
            <w:r>
              <w:t>Data governance</w:t>
            </w:r>
          </w:p>
        </w:tc>
        <w:tc>
          <w:tcPr>
            <w:tcW w:type="dxa" w:w="2160"/>
          </w:tcPr>
          <w:p>
            <w:r>
              <w:t>Chief Data Officer / Data Owner</w:t>
            </w:r>
          </w:p>
        </w:tc>
        <w:tc>
          <w:tcPr>
            <w:tcW w:type="dxa" w:w="2160"/>
          </w:tcPr>
          <w:p>
            <w:r>
              <w:t>Data Governance Forum</w:t>
            </w:r>
          </w:p>
        </w:tc>
        <w:tc>
          <w:tcPr>
            <w:tcW w:type="dxa" w:w="2160"/>
          </w:tcPr>
          <w:p>
            <w:r>
              <w:t>Data ownership register, quality metrics, issue log</w:t>
            </w:r>
          </w:p>
        </w:tc>
      </w:tr>
      <w:tr>
        <w:tc>
          <w:tcPr>
            <w:tcW w:type="dxa" w:w="2160"/>
          </w:tcPr>
          <w:p>
            <w:r>
              <w:t>Service performance</w:t>
            </w:r>
          </w:p>
        </w:tc>
        <w:tc>
          <w:tcPr>
            <w:tcW w:type="dxa" w:w="2160"/>
          </w:tcPr>
          <w:p>
            <w:r>
              <w:t>Service Owner</w:t>
            </w:r>
          </w:p>
        </w:tc>
        <w:tc>
          <w:tcPr>
            <w:tcW w:type="dxa" w:w="2160"/>
          </w:tcPr>
          <w:p>
            <w:r>
              <w:t>Service Review Forum / Executive Committee</w:t>
            </w:r>
          </w:p>
        </w:tc>
        <w:tc>
          <w:tcPr>
            <w:tcW w:type="dxa" w:w="2160"/>
          </w:tcPr>
          <w:p>
            <w:r>
              <w:t>Service reports, incident trends, improvement actions</w:t>
            </w:r>
          </w:p>
        </w:tc>
      </w:tr>
      <w:tr>
        <w:tc>
          <w:tcPr>
            <w:tcW w:type="dxa" w:w="2160"/>
          </w:tcPr>
          <w:p>
            <w:r>
              <w:t>Third-party technology services</w:t>
            </w:r>
          </w:p>
        </w:tc>
        <w:tc>
          <w:tcPr>
            <w:tcW w:type="dxa" w:w="2160"/>
          </w:tcPr>
          <w:p>
            <w:r>
              <w:t>Vendor Owner</w:t>
            </w:r>
          </w:p>
        </w:tc>
        <w:tc>
          <w:tcPr>
            <w:tcW w:type="dxa" w:w="2160"/>
          </w:tcPr>
          <w:p>
            <w:r>
              <w:t>Vendor Governance Forum / Executive Committee</w:t>
            </w:r>
          </w:p>
        </w:tc>
        <w:tc>
          <w:tcPr>
            <w:tcW w:type="dxa" w:w="2160"/>
          </w:tcPr>
          <w:p>
            <w:r>
              <w:t>Contract controls, performance reports, risk assessments</w:t>
            </w:r>
          </w:p>
        </w:tc>
      </w:tr>
    </w:tbl>
    <w:p>
      <w:pPr>
        <w:pStyle w:val="Heading2"/>
      </w:pPr>
      <w:r>
        <w:t>Compliance, Monitoring &amp; Enforcement</w:t>
      </w:r>
    </w:p>
    <w:p>
      <w:r>
        <w:t>Compliance with this Policy is mandatory.</w:t>
      </w:r>
    </w:p>
    <w:p>
      <w:r>
        <w:t>The Policy Owner, supported by Risk, Compliance, Technology, Information Security and Internal Audit functions, shall establish monitoring activities to assess adherence to this Policy and the effectiveness of the governance system.</w:t>
      </w:r>
    </w:p>
    <w:p>
      <w:r>
        <w:t>Monitoring activities shall include, as appropriate:</w:t>
      </w:r>
    </w:p>
    <w:p>
      <w:pPr>
        <w:pStyle w:val="ListBullet"/>
      </w:pPr>
      <w:r>
        <w:t>Review of governance body operation, attendance, records and decision quality.</w:t>
      </w:r>
    </w:p>
    <w:p>
      <w:pPr>
        <w:pStyle w:val="ListBullet"/>
      </w:pPr>
      <w:r>
        <w:t>Review of investment approvals, business cases and benefit realisation tracking.</w:t>
      </w:r>
    </w:p>
    <w:p>
      <w:pPr>
        <w:pStyle w:val="ListBullet"/>
      </w:pPr>
      <w:r>
        <w:t>Assessment of alignment between technology initiatives and enterprise objectives.</w:t>
      </w:r>
    </w:p>
    <w:p>
      <w:pPr>
        <w:pStyle w:val="ListBullet"/>
      </w:pPr>
      <w:r>
        <w:t>Monitoring of technology risk, cybersecurity risk, data risk and third-party risk reporting.</w:t>
      </w:r>
    </w:p>
    <w:p>
      <w:pPr>
        <w:pStyle w:val="ListBullet"/>
      </w:pPr>
      <w:r>
        <w:t>Review of policy exceptions, risk acceptances and overdue corrective actions.</w:t>
      </w:r>
    </w:p>
    <w:p>
      <w:pPr>
        <w:pStyle w:val="ListBullet"/>
      </w:pPr>
      <w:r>
        <w:t>Assessment of governance performance indicators and escalation practices.</w:t>
      </w:r>
    </w:p>
    <w:p>
      <w:pPr>
        <w:pStyle w:val="ListBullet"/>
      </w:pPr>
      <w:r>
        <w:t>Review of audit findings, regulatory issues and remediation progress.</w:t>
      </w:r>
    </w:p>
    <w:p>
      <w:pPr>
        <w:pStyle w:val="ListBullet"/>
      </w:pPr>
      <w:r>
        <w:t>Periodic maturity or capability assessments of governance practices.</w:t>
      </w:r>
    </w:p>
    <w:p>
      <w:r>
        <w:t>Minimum compliance monitoring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Owner</w:t>
            </w:r>
          </w:p>
        </w:tc>
        <w:tc>
          <w:tcPr>
            <w:tcW w:type="dxa" w:w="2160"/>
          </w:tcPr>
          <w:p>
            <w:r>
              <w:t>Frequency</w:t>
            </w:r>
          </w:p>
        </w:tc>
        <w:tc>
          <w:tcPr>
            <w:tcW w:type="dxa" w:w="2160"/>
          </w:tcPr>
          <w:p>
            <w:r>
              <w:t>Output</w:t>
            </w:r>
          </w:p>
        </w:tc>
      </w:tr>
      <w:tr>
        <w:tc>
          <w:tcPr>
            <w:tcW w:type="dxa" w:w="2160"/>
          </w:tcPr>
          <w:p>
            <w:r>
              <w:t>Governance committee effectiveness review</w:t>
            </w:r>
          </w:p>
        </w:tc>
        <w:tc>
          <w:tcPr>
            <w:tcW w:type="dxa" w:w="2160"/>
          </w:tcPr>
          <w:p>
            <w:r>
              <w:t>Policy Owner</w:t>
            </w:r>
          </w:p>
        </w:tc>
        <w:tc>
          <w:tcPr>
            <w:tcW w:type="dxa" w:w="2160"/>
          </w:tcPr>
          <w:p>
            <w:r>
              <w:t>Annually</w:t>
            </w:r>
          </w:p>
        </w:tc>
        <w:tc>
          <w:tcPr>
            <w:tcW w:type="dxa" w:w="2160"/>
          </w:tcPr>
          <w:p>
            <w:r>
              <w:t>Effectiveness assessment and improvement plan</w:t>
            </w:r>
          </w:p>
        </w:tc>
      </w:tr>
      <w:tr>
        <w:tc>
          <w:tcPr>
            <w:tcW w:type="dxa" w:w="2160"/>
          </w:tcPr>
          <w:p>
            <w:r>
              <w:t>Technology governance dashboard review</w:t>
            </w:r>
          </w:p>
        </w:tc>
        <w:tc>
          <w:tcPr>
            <w:tcW w:type="dxa" w:w="2160"/>
          </w:tcPr>
          <w:p>
            <w:r>
              <w:t>CIO / Governance Office</w:t>
            </w:r>
          </w:p>
        </w:tc>
        <w:tc>
          <w:tcPr>
            <w:tcW w:type="dxa" w:w="2160"/>
          </w:tcPr>
          <w:p>
            <w:r>
              <w:t>Monthly</w:t>
            </w:r>
          </w:p>
        </w:tc>
        <w:tc>
          <w:tcPr>
            <w:tcW w:type="dxa" w:w="2160"/>
          </w:tcPr>
          <w:p>
            <w:r>
              <w:t>Dashboard and action log</w:t>
            </w:r>
          </w:p>
        </w:tc>
      </w:tr>
      <w:tr>
        <w:tc>
          <w:tcPr>
            <w:tcW w:type="dxa" w:w="2160"/>
          </w:tcPr>
          <w:p>
            <w:r>
              <w:t>Technology risk and control review</w:t>
            </w:r>
          </w:p>
        </w:tc>
        <w:tc>
          <w:tcPr>
            <w:tcW w:type="dxa" w:w="2160"/>
          </w:tcPr>
          <w:p>
            <w:r>
              <w:t>CISO / Risk Function</w:t>
            </w:r>
          </w:p>
        </w:tc>
        <w:tc>
          <w:tcPr>
            <w:tcW w:type="dxa" w:w="2160"/>
          </w:tcPr>
          <w:p>
            <w:r>
              <w:t>Monthly</w:t>
            </w:r>
          </w:p>
        </w:tc>
        <w:tc>
          <w:tcPr>
            <w:tcW w:type="dxa" w:w="2160"/>
          </w:tcPr>
          <w:p>
            <w:r>
              <w:t>Risk report and treatment status</w:t>
            </w:r>
          </w:p>
        </w:tc>
      </w:tr>
      <w:tr>
        <w:tc>
          <w:tcPr>
            <w:tcW w:type="dxa" w:w="2160"/>
          </w:tcPr>
          <w:p>
            <w:r>
              <w:t>Investment portfolio review</w:t>
            </w:r>
          </w:p>
        </w:tc>
        <w:tc>
          <w:tcPr>
            <w:tcW w:type="dxa" w:w="2160"/>
          </w:tcPr>
          <w:p>
            <w:r>
              <w:t>Portfolio Management Office</w:t>
            </w:r>
          </w:p>
        </w:tc>
        <w:tc>
          <w:tcPr>
            <w:tcW w:type="dxa" w:w="2160"/>
          </w:tcPr>
          <w:p>
            <w:r>
              <w:t>Monthly</w:t>
            </w:r>
          </w:p>
        </w:tc>
        <w:tc>
          <w:tcPr>
            <w:tcW w:type="dxa" w:w="2160"/>
          </w:tcPr>
          <w:p>
            <w:r>
              <w:t>Portfolio report and benefit tracking update</w:t>
            </w:r>
          </w:p>
        </w:tc>
      </w:tr>
      <w:tr>
        <w:tc>
          <w:tcPr>
            <w:tcW w:type="dxa" w:w="2160"/>
          </w:tcPr>
          <w:p>
            <w:r>
              <w:t>Policy compliance self-assessment</w:t>
            </w:r>
          </w:p>
        </w:tc>
        <w:tc>
          <w:tcPr>
            <w:tcW w:type="dxa" w:w="2160"/>
          </w:tcPr>
          <w:p>
            <w:r>
              <w:t>Business and Technology Owners</w:t>
            </w:r>
          </w:p>
        </w:tc>
        <w:tc>
          <w:tcPr>
            <w:tcW w:type="dxa" w:w="2160"/>
          </w:tcPr>
          <w:p>
            <w:r>
              <w:t>Semi-annually</w:t>
            </w:r>
          </w:p>
        </w:tc>
        <w:tc>
          <w:tcPr>
            <w:tcW w:type="dxa" w:w="2160"/>
          </w:tcPr>
          <w:p>
            <w:r>
              <w:t>Completed assessment and remediation plan</w:t>
            </w:r>
          </w:p>
        </w:tc>
      </w:tr>
      <w:tr>
        <w:tc>
          <w:tcPr>
            <w:tcW w:type="dxa" w:w="2160"/>
          </w:tcPr>
          <w:p>
            <w:r>
              <w:t>Exception register review</w:t>
            </w:r>
          </w:p>
        </w:tc>
        <w:tc>
          <w:tcPr>
            <w:tcW w:type="dxa" w:w="2160"/>
          </w:tcPr>
          <w:p>
            <w:r>
              <w:t>Policy Owner</w:t>
            </w:r>
          </w:p>
        </w:tc>
        <w:tc>
          <w:tcPr>
            <w:tcW w:type="dxa" w:w="2160"/>
          </w:tcPr>
          <w:p>
            <w:r>
              <w:t>Quarterly</w:t>
            </w:r>
          </w:p>
        </w:tc>
        <w:tc>
          <w:tcPr>
            <w:tcW w:type="dxa" w:w="2160"/>
          </w:tcPr>
          <w:p>
            <w:r>
              <w:t>Exception status report</w:t>
            </w:r>
          </w:p>
        </w:tc>
      </w:tr>
      <w:tr>
        <w:tc>
          <w:tcPr>
            <w:tcW w:type="dxa" w:w="2160"/>
          </w:tcPr>
          <w:p>
            <w:r>
              <w:t>Internal audit review</w:t>
            </w:r>
          </w:p>
        </w:tc>
        <w:tc>
          <w:tcPr>
            <w:tcW w:type="dxa" w:w="2160"/>
          </w:tcPr>
          <w:p>
            <w:r>
              <w:t>Internal Audit</w:t>
            </w:r>
          </w:p>
        </w:tc>
        <w:tc>
          <w:tcPr>
            <w:tcW w:type="dxa" w:w="2160"/>
          </w:tcPr>
          <w:p>
            <w:r>
              <w:t>Risk-based</w:t>
            </w:r>
          </w:p>
        </w:tc>
        <w:tc>
          <w:tcPr>
            <w:tcW w:type="dxa" w:w="2160"/>
          </w:tcPr>
          <w:p>
            <w:r>
              <w:t>Assurance report and agreed management actions</w:t>
            </w:r>
          </w:p>
        </w:tc>
      </w:tr>
      <w:tr>
        <w:tc>
          <w:tcPr>
            <w:tcW w:type="dxa" w:w="2160"/>
          </w:tcPr>
          <w:p>
            <w:r>
              <w:t>Board governance reporting</w:t>
            </w:r>
          </w:p>
        </w:tc>
        <w:tc>
          <w:tcPr>
            <w:tcW w:type="dxa" w:w="2160"/>
          </w:tcPr>
          <w:p>
            <w:r>
              <w:t>Executive Management</w:t>
            </w:r>
          </w:p>
        </w:tc>
        <w:tc>
          <w:tcPr>
            <w:tcW w:type="dxa" w:w="2160"/>
          </w:tcPr>
          <w:p>
            <w:r>
              <w:t>Quarterly</w:t>
            </w:r>
          </w:p>
        </w:tc>
        <w:tc>
          <w:tcPr>
            <w:tcW w:type="dxa" w:w="2160"/>
          </w:tcPr>
          <w:p>
            <w:r>
              <w:t>Board report and decision record</w:t>
            </w:r>
          </w:p>
        </w:tc>
      </w:tr>
    </w:tbl>
    <w:p>
      <w:r>
        <w:t>Non-compliance with this Policy shall be addressed based on severity, intent, impact and recurrence. Enforcement actions may include:</w:t>
      </w:r>
    </w:p>
    <w:p>
      <w:pPr>
        <w:pStyle w:val="ListBullet"/>
      </w:pPr>
      <w:r>
        <w:t>Required corrective action plans.</w:t>
      </w:r>
    </w:p>
    <w:p>
      <w:pPr>
        <w:pStyle w:val="ListBullet"/>
      </w:pPr>
      <w:r>
        <w:t>Increased oversight or reporting.</w:t>
      </w:r>
    </w:p>
    <w:p>
      <w:pPr>
        <w:pStyle w:val="ListBullet"/>
      </w:pPr>
      <w:r>
        <w:t>Withdrawal or suspension of approvals.</w:t>
      </w:r>
    </w:p>
    <w:p>
      <w:pPr>
        <w:pStyle w:val="ListBullet"/>
      </w:pPr>
      <w:r>
        <w:t>Reassessment of risk acceptance decisions.</w:t>
      </w:r>
    </w:p>
    <w:p>
      <w:pPr>
        <w:pStyle w:val="ListBullet"/>
      </w:pPr>
      <w:r>
        <w:t>Escalation to executive management or the Board.</w:t>
      </w:r>
    </w:p>
    <w:p>
      <w:pPr>
        <w:pStyle w:val="ListBullet"/>
      </w:pPr>
      <w:r>
        <w:t>Contractual remedies for third-party non-compliance.</w:t>
      </w:r>
    </w:p>
    <w:p>
      <w:pPr>
        <w:pStyle w:val="ListBullet"/>
      </w:pPr>
      <w:r>
        <w:t>Disciplinary action in accordance with human resources policies.</w:t>
      </w:r>
    </w:p>
    <w:p>
      <w:pPr>
        <w:pStyle w:val="ListBullet"/>
      </w:pPr>
      <w:r>
        <w:t>Notification to regulators, customers or other stakeholders where legally or contractually required.</w:t>
      </w:r>
    </w:p>
    <w:p>
      <w:r>
        <w:t>Material breaches of this Policy shall be reported promptly to the Policy Owner, relevant executive management, Risk, Compliance and Internal Audit as appropriate.</w:t>
      </w:r>
    </w:p>
    <w:p>
      <w:pPr>
        <w:pStyle w:val="Heading2"/>
      </w:pPr>
      <w:r>
        <w:t>Exceptions</w:t>
      </w:r>
    </w:p>
    <w:p>
      <w:r>
        <w:t>Exceptions to this Policy shall be permitted only where there is a valid business reason, the associated risk is understood, and approval is granted by an authorised decision-maker.</w:t>
      </w:r>
    </w:p>
    <w:p>
      <w:r>
        <w:t>Exception requests shall be documented before non-compliant activity proceeds, unless urgent operational circumstances require immediate action to protect the organisation. In such cases, retrospective approval shall be sought as soon as practicable.</w:t>
      </w:r>
    </w:p>
    <w:p>
      <w:r>
        <w:t>Each exception request shall include:</w:t>
      </w:r>
    </w:p>
    <w:p>
      <w:pPr>
        <w:pStyle w:val="ListBullet"/>
      </w:pPr>
      <w:r>
        <w:t>Description of the requirement that cannot be met.</w:t>
      </w:r>
    </w:p>
    <w:p>
      <w:pPr>
        <w:pStyle w:val="ListBullet"/>
      </w:pPr>
      <w:r>
        <w:t>Business justification for the exception.</w:t>
      </w:r>
    </w:p>
    <w:p>
      <w:pPr>
        <w:pStyle w:val="ListBullet"/>
      </w:pPr>
      <w:r>
        <w:t>Scope, affected systems, processes, data, services or third parties.</w:t>
      </w:r>
    </w:p>
    <w:p>
      <w:pPr>
        <w:pStyle w:val="ListBullet"/>
      </w:pPr>
      <w:r>
        <w:t>Risk assessment and potential impact.</w:t>
      </w:r>
    </w:p>
    <w:p>
      <w:pPr>
        <w:pStyle w:val="ListBullet"/>
      </w:pPr>
      <w:r>
        <w:t>Compensating controls or alternative measures.</w:t>
      </w:r>
    </w:p>
    <w:p>
      <w:pPr>
        <w:pStyle w:val="ListBullet"/>
      </w:pPr>
      <w:r>
        <w:t>Exception owner.</w:t>
      </w:r>
    </w:p>
    <w:p>
      <w:pPr>
        <w:pStyle w:val="ListBullet"/>
      </w:pPr>
      <w:r>
        <w:t>Requested duration and expiry date.</w:t>
      </w:r>
    </w:p>
    <w:p>
      <w:pPr>
        <w:pStyle w:val="ListBullet"/>
      </w:pPr>
      <w:r>
        <w:t>Remediation or transition plan.</w:t>
      </w:r>
    </w:p>
    <w:p>
      <w:pPr>
        <w:pStyle w:val="ListBullet"/>
      </w:pPr>
      <w:r>
        <w:t>Evidence of review by relevant subject matter experts.</w:t>
      </w:r>
    </w:p>
    <w:p>
      <w:r>
        <w:t>Exception approval authority: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Exception Type</w:t>
            </w:r>
          </w:p>
        </w:tc>
        <w:tc>
          <w:tcPr>
            <w:tcW w:type="dxa" w:w="2160"/>
          </w:tcPr>
          <w:p>
            <w:r>
              <w:t>Minimum Approval Authority</w:t>
            </w:r>
          </w:p>
        </w:tc>
        <w:tc>
          <w:tcPr>
            <w:tcW w:type="dxa" w:w="2160"/>
          </w:tcPr>
          <w:p>
            <w:r>
              <w:t>Maximum Standard Duration</w:t>
            </w:r>
          </w:p>
        </w:tc>
        <w:tc>
          <w:tcPr>
            <w:tcW w:type="dxa" w:w="2160"/>
          </w:tcPr>
          <w:p>
            <w:r>
              <w:t>Additional Review Required</w:t>
            </w:r>
          </w:p>
        </w:tc>
      </w:tr>
      <w:tr>
        <w:tc>
          <w:tcPr>
            <w:tcW w:type="dxa" w:w="2160"/>
          </w:tcPr>
          <w:p>
            <w:r>
              <w:t>Low-impact administrative deviation</w:t>
            </w:r>
          </w:p>
        </w:tc>
        <w:tc>
          <w:tcPr>
            <w:tcW w:type="dxa" w:w="2160"/>
          </w:tcPr>
          <w:p>
            <w:r>
              <w:t>Policy Owner</w:t>
            </w:r>
          </w:p>
        </w:tc>
        <w:tc>
          <w:tcPr>
            <w:tcW w:type="dxa" w:w="2160"/>
          </w:tcPr>
          <w:p>
            <w:r>
              <w:t>6 months</w:t>
            </w:r>
          </w:p>
        </w:tc>
        <w:tc>
          <w:tcPr>
            <w:tcW w:type="dxa" w:w="2160"/>
          </w:tcPr>
          <w:p>
            <w:r>
              <w:t>Governance Office review</w:t>
            </w:r>
          </w:p>
        </w:tc>
      </w:tr>
      <w:tr>
        <w:tc>
          <w:tcPr>
            <w:tcW w:type="dxa" w:w="2160"/>
          </w:tcPr>
          <w:p>
            <w:r>
              <w:t>Technology governance process deviation</w:t>
            </w:r>
          </w:p>
        </w:tc>
        <w:tc>
          <w:tcPr>
            <w:tcW w:type="dxa" w:w="2160"/>
          </w:tcPr>
          <w:p>
            <w:r>
              <w:t>CIO or delegated executive</w:t>
            </w:r>
          </w:p>
        </w:tc>
        <w:tc>
          <w:tcPr>
            <w:tcW w:type="dxa" w:w="2160"/>
          </w:tcPr>
          <w:p>
            <w:r>
              <w:t>6 months</w:t>
            </w:r>
          </w:p>
        </w:tc>
        <w:tc>
          <w:tcPr>
            <w:tcW w:type="dxa" w:w="2160"/>
          </w:tcPr>
          <w:p>
            <w:r>
              <w:t>Policy Owner review</w:t>
            </w:r>
          </w:p>
        </w:tc>
      </w:tr>
      <w:tr>
        <w:tc>
          <w:tcPr>
            <w:tcW w:type="dxa" w:w="2160"/>
          </w:tcPr>
          <w:p>
            <w:r>
              <w:t>Security, privacy or data risk exception</w:t>
            </w:r>
          </w:p>
        </w:tc>
        <w:tc>
          <w:tcPr>
            <w:tcW w:type="dxa" w:w="2160"/>
          </w:tcPr>
          <w:p>
            <w:r>
              <w:t>CISO, Data Governance Lead or Risk Function as applicable</w:t>
            </w:r>
          </w:p>
        </w:tc>
        <w:tc>
          <w:tcPr>
            <w:tcW w:type="dxa" w:w="2160"/>
          </w:tcPr>
          <w:p>
            <w:r>
              <w:t>3 months</w:t>
            </w:r>
          </w:p>
        </w:tc>
        <w:tc>
          <w:tcPr>
            <w:tcW w:type="dxa" w:w="2160"/>
          </w:tcPr>
          <w:p>
            <w:r>
              <w:t>Risk assessment and compensating controls</w:t>
            </w:r>
          </w:p>
        </w:tc>
      </w:tr>
      <w:tr>
        <w:tc>
          <w:tcPr>
            <w:tcW w:type="dxa" w:w="2160"/>
          </w:tcPr>
          <w:p>
            <w:r>
              <w:t>Material investment or portfolio governance exception</w:t>
            </w:r>
          </w:p>
        </w:tc>
        <w:tc>
          <w:tcPr>
            <w:tcW w:type="dxa" w:w="2160"/>
          </w:tcPr>
          <w:p>
            <w:r>
              <w:t>Executive Technology Governance Committee</w:t>
            </w:r>
          </w:p>
        </w:tc>
        <w:tc>
          <w:tcPr>
            <w:tcW w:type="dxa" w:w="2160"/>
          </w:tcPr>
          <w:p>
            <w:r>
              <w:t>6 months</w:t>
            </w:r>
          </w:p>
        </w:tc>
        <w:tc>
          <w:tcPr>
            <w:tcW w:type="dxa" w:w="2160"/>
          </w:tcPr>
          <w:p>
            <w:r>
              <w:t>Finance and Risk review</w:t>
            </w:r>
          </w:p>
        </w:tc>
      </w:tr>
      <w:tr>
        <w:tc>
          <w:tcPr>
            <w:tcW w:type="dxa" w:w="2160"/>
          </w:tcPr>
          <w:p>
            <w:r>
              <w:t>Risk above approved tolerance</w:t>
            </w:r>
          </w:p>
        </w:tc>
        <w:tc>
          <w:tcPr>
            <w:tcW w:type="dxa" w:w="2160"/>
          </w:tcPr>
          <w:p>
            <w:r>
              <w:t>Authorised executive risk owner or Board-level body</w:t>
            </w:r>
          </w:p>
        </w:tc>
        <w:tc>
          <w:tcPr>
            <w:tcW w:type="dxa" w:w="2160"/>
          </w:tcPr>
          <w:p>
            <w:r>
              <w:t>As approved</w:t>
            </w:r>
          </w:p>
        </w:tc>
        <w:tc>
          <w:tcPr>
            <w:tcW w:type="dxa" w:w="2160"/>
          </w:tcPr>
          <w:p>
            <w:r>
              <w:t>Formal risk acceptance and monitoring plan</w:t>
            </w:r>
          </w:p>
        </w:tc>
      </w:tr>
      <w:tr>
        <w:tc>
          <w:tcPr>
            <w:tcW w:type="dxa" w:w="2160"/>
          </w:tcPr>
          <w:p>
            <w:r>
              <w:t>Third-party governance exception</w:t>
            </w:r>
          </w:p>
        </w:tc>
        <w:tc>
          <w:tcPr>
            <w:tcW w:type="dxa" w:w="2160"/>
          </w:tcPr>
          <w:p>
            <w:r>
              <w:t>Vendor Owner and Procurement / Risk approval</w:t>
            </w:r>
          </w:p>
        </w:tc>
        <w:tc>
          <w:tcPr>
            <w:tcW w:type="dxa" w:w="2160"/>
          </w:tcPr>
          <w:p>
            <w:r>
              <w:t>6 months</w:t>
            </w:r>
          </w:p>
        </w:tc>
        <w:tc>
          <w:tcPr>
            <w:tcW w:type="dxa" w:w="2160"/>
          </w:tcPr>
          <w:p>
            <w:r>
              <w:t>Contractual and vendor risk review</w:t>
            </w:r>
          </w:p>
        </w:tc>
      </w:tr>
    </w:tbl>
    <w:p>
      <w:r>
        <w:t>Approved exceptions shall be recorded in an exception register and reviewed at least quarterly.</w:t>
      </w:r>
    </w:p>
    <w:p>
      <w:r>
        <w:t>Expired exceptions shall not remain valid unless formally renewed before expiry. Renewal shall require updated justification, current risk assessment and evidence of progress toward remediation.</w:t>
      </w:r>
    </w:p>
    <w:p>
      <w:pPr>
        <w:pStyle w:val="Heading2"/>
      </w:pPr>
      <w:r>
        <w:t>Review &amp; Maintenance</w:t>
      </w:r>
    </w:p>
    <w:p>
      <w:r>
        <w:t>This Policy shall be reviewed at least annually and whenever significant changes occur that may affect the governance of information and technology.</w:t>
      </w:r>
    </w:p>
    <w:p>
      <w:r>
        <w:t>Triggers for out-of-cycle review shall include:</w:t>
      </w:r>
    </w:p>
    <w:p>
      <w:pPr>
        <w:pStyle w:val="ListBullet"/>
      </w:pPr>
      <w:r>
        <w:t>Material change to enterprise strategy or operating model.</w:t>
      </w:r>
    </w:p>
    <w:p>
      <w:pPr>
        <w:pStyle w:val="ListBullet"/>
      </w:pPr>
      <w:r>
        <w:t>Significant merger, acquisition, divestment or restructuring.</w:t>
      </w:r>
    </w:p>
    <w:p>
      <w:pPr>
        <w:pStyle w:val="ListBullet"/>
      </w:pPr>
      <w:r>
        <w:t>Major technology transformation or cloud adoption.</w:t>
      </w:r>
    </w:p>
    <w:p>
      <w:pPr>
        <w:pStyle w:val="ListBullet"/>
      </w:pPr>
      <w:r>
        <w:t>Significant cybersecurity incident, technology outage or data breach.</w:t>
      </w:r>
    </w:p>
    <w:p>
      <w:pPr>
        <w:pStyle w:val="ListBullet"/>
      </w:pPr>
      <w:r>
        <w:t>Material audit finding or regulatory issue.</w:t>
      </w:r>
    </w:p>
    <w:p>
      <w:pPr>
        <w:pStyle w:val="ListBullet"/>
      </w:pPr>
      <w:r>
        <w:t>Change in legal, regulatory or contractual obligations.</w:t>
      </w:r>
    </w:p>
    <w:p>
      <w:pPr>
        <w:pStyle w:val="ListBullet"/>
      </w:pPr>
      <w:r>
        <w:t>Significant change in technology risk profile or risk appetite.</w:t>
      </w:r>
    </w:p>
    <w:p>
      <w:pPr>
        <w:pStyle w:val="ListBullet"/>
      </w:pPr>
      <w:r>
        <w:t>Evidence that governance bodies or decision processes are ineffective.</w:t>
      </w:r>
    </w:p>
    <w:p>
      <w:pPr>
        <w:pStyle w:val="ListBullet"/>
      </w:pPr>
      <w:r>
        <w:t>Updates to the organisation’s governance, risk management or compliance approach.</w:t>
      </w:r>
    </w:p>
    <w:p>
      <w:r>
        <w:t>The Policy Owner shall coordinate review with relevant stakeholders, including executive management, technology leadership, risk management, information security, legal, compliance, finance, procurement, data governance and internal audit.</w:t>
      </w:r>
    </w:p>
    <w:p>
      <w:r>
        <w:t>Policy changes shall be approved by the Board or delegated governing authority according to the organisation’s document approval process.</w:t>
      </w:r>
    </w:p>
    <w:p>
      <w:r>
        <w:t>Version history shall be maintained for this Policy.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Approved By</w:t>
            </w:r>
          </w:p>
        </w:tc>
      </w:tr>
      <w:tr>
        <w:tc>
          <w:tcPr>
            <w:tcW w:type="dxa" w:w="1728"/>
          </w:tcPr>
          <w:p>
            <w:r>
              <w:t>1.0</w:t>
            </w:r>
          </w:p>
        </w:tc>
        <w:tc>
          <w:tcPr>
            <w:tcW w:type="dxa" w:w="1728"/>
          </w:tcPr>
          <w:p>
            <w:r>
              <w:t>[YYYY-MM-DD]</w:t>
            </w:r>
          </w:p>
        </w:tc>
        <w:tc>
          <w:tcPr>
            <w:tcW w:type="dxa" w:w="1728"/>
          </w:tcPr>
          <w:p>
            <w:r>
              <w:t>Initial release</w:t>
            </w:r>
          </w:p>
        </w:tc>
        <w:tc>
          <w:tcPr>
            <w:tcW w:type="dxa" w:w="1728"/>
          </w:tcPr>
          <w:p>
            <w:r>
              <w:t>[Name / Role]</w:t>
            </w:r>
          </w:p>
        </w:tc>
        <w:tc>
          <w:tcPr>
            <w:tcW w:type="dxa" w:w="1728"/>
          </w:tcPr>
          <w:p>
            <w:r>
              <w:t>[Approver / Governance Body]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