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3B6E" w:val="clear"/>
        <w:spacing w:after="0" w:before="0"/>
      </w:pPr>
      <w:r>
        <w:rPr>
          <w:rFonts w:ascii="Arial" w:cs="Arial" w:eastAsia="Arial" w:hAnsi="Arial"/>
          <w:b/>
          <w:bCs/>
          <w:color w:val="FFFFFF"/>
          <w:sz w:val="32"/>
          <w:szCs w:val="32"/>
        </w:rPr>
        <w:t xml:space="preserve">COMPLYVERSE  |  SDLC DOCUMENTATION PROCEDURES</w:t>
      </w:r>
    </w:p>
    <w:p>
      <w:pPr>
        <w:shd w:fill="0D3B6E" w:val="clear"/>
        <w:spacing w:after="280" w:before="60"/>
      </w:pPr>
      <w:r>
        <w:rPr>
          <w:rFonts w:ascii="Arial" w:cs="Arial" w:eastAsia="Arial" w:hAnsi="Arial"/>
          <w:color w:val="A8C8F0"/>
          <w:sz w:val="22"/>
          <w:szCs w:val="22"/>
        </w:rPr>
        <w:t xml:space="preserve">System Development Documentation Standards &amp; Procedures — SBP ETGRMF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0D3B6E"/>
                <w:sz w:val="17"/>
                <w:szCs w:val="17"/>
              </w:rPr>
              <w:t xml:space="preserve">Document Ref</w:t>
            </w:r>
          </w:p>
          <w:p>
            <w:r>
              <w:rPr>
                <w:rFonts w:ascii="Arial" w:cs="Arial" w:eastAsia="Arial" w:hAnsi="Arial"/>
                <w:color w:val="1A1A1A"/>
                <w:sz w:val="19"/>
                <w:szCs w:val="19"/>
              </w:rPr>
              <w:t xml:space="preserve">CV-SDLC-PROC-001</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0D3B6E"/>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0D3B6E"/>
                <w:sz w:val="17"/>
                <w:szCs w:val="17"/>
              </w:rPr>
              <w:t xml:space="preserve">Review Cycle</w:t>
            </w:r>
          </w:p>
          <w:p>
            <w:r>
              <w:rPr>
                <w:rFonts w:ascii="Arial" w:cs="Arial" w:eastAsia="Arial" w:hAnsi="Arial"/>
                <w:color w:val="1A1A1A"/>
                <w:sz w:val="19"/>
                <w:szCs w:val="19"/>
              </w:rPr>
              <w:t xml:space="preserve">Annual</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0D3B6E"/>
                <w:sz w:val="17"/>
                <w:szCs w:val="17"/>
              </w:rPr>
              <w:t xml:space="preserve">Framework Ref</w:t>
            </w:r>
          </w:p>
          <w:p>
            <w:r>
              <w:rPr>
                <w:rFonts w:ascii="Arial" w:cs="Arial" w:eastAsia="Arial" w:hAnsi="Arial"/>
                <w:color w:val="1A1A1A"/>
                <w:sz w:val="19"/>
                <w:szCs w:val="19"/>
              </w:rPr>
              <w:t xml:space="preserve">SBP ETGRMF — SDLC Controls</w:t>
            </w:r>
          </w:p>
        </w:tc>
      </w:tr>
    </w:tbl>
    <w:p>
      <w:pPr>
        <w:spacing w:after="200" w:before="0"/>
      </w:pPr>
      <w:r>
        <w:t xml:space="preserve"/>
      </w:r>
    </w:p>
    <w:p>
      <w:pPr>
        <w:spacing w:after="140" w:before="280"/>
      </w:pPr>
      <w:r>
        <w:rPr>
          <w:rFonts w:ascii="Arial" w:cs="Arial" w:eastAsia="Arial" w:hAnsi="Arial"/>
          <w:b/>
          <w:bCs/>
          <w:color w:val="0D3B6E"/>
          <w:sz w:val="24"/>
          <w:szCs w:val="24"/>
        </w:rPr>
        <w:t xml:space="preserve">1. PURPOSE &amp; SCOPE</w:t>
      </w:r>
    </w:p>
    <w:p>
      <w:pPr>
        <w:pBdr>
          <w:bottom w:val="single" w:color="0D3B6E" w:sz="8" w:space="1"/>
        </w:pBdr>
        <w:spacing w:after="120" w:before="0"/>
      </w:pPr>
      <w:r>
        <w:t xml:space="preserve"/>
      </w:r>
    </w:p>
    <w:p>
      <w:pPr>
        <w:spacing w:after="100" w:before="80"/>
      </w:pPr>
      <w:r>
        <w:rPr>
          <w:rFonts w:ascii="Arial" w:cs="Arial" w:eastAsia="Arial" w:hAnsi="Arial"/>
          <w:color w:val="1A1A1A"/>
          <w:sz w:val="20"/>
          <w:szCs w:val="20"/>
        </w:rPr>
        <w:t xml:space="preserve">This document defines the mandatory documentation procedures for all system development activities undertaken by or on behalf of DemoTech Enterprises (Pvt.) Ltd. It covers all phases of the Software Development Life Cycle (SDLC) from initiation through to decommission, and applies to all internally developed, outsourced, and commercially acquired systems.</w:t>
      </w:r>
    </w:p>
    <w:p>
      <w:pPr>
        <w:spacing w:after="80" w:before="0"/>
      </w:pPr>
      <w:r>
        <w:t xml:space="preserve"/>
      </w:r>
    </w:p>
    <w:p>
      <w:pPr>
        <w:spacing w:after="100" w:before="80"/>
      </w:pPr>
      <w:r>
        <w:rPr>
          <w:rFonts w:ascii="Arial" w:cs="Arial" w:eastAsia="Arial" w:hAnsi="Arial"/>
          <w:color w:val="1A1A1A"/>
          <w:sz w:val="20"/>
          <w:szCs w:val="20"/>
        </w:rPr>
        <w:t xml:space="preserve">Compliance with these procedures is mandatory for all technology projects and is a condition of production deployment approval. These procedures are aligned with SBP ETGRMF requirements for technology governance and system development controls.</w:t>
      </w:r>
    </w:p>
    <w:p>
      <w:pPr>
        <w:spacing w:after="160" w:before="0"/>
      </w:pPr>
      <w:r>
        <w:t xml:space="preserve"/>
      </w:r>
    </w:p>
    <w:p>
      <w:pPr>
        <w:spacing w:after="140" w:before="280"/>
      </w:pPr>
      <w:r>
        <w:rPr>
          <w:rFonts w:ascii="Arial" w:cs="Arial" w:eastAsia="Arial" w:hAnsi="Arial"/>
          <w:b/>
          <w:bCs/>
          <w:color w:val="0D3B6E"/>
          <w:sz w:val="24"/>
          <w:szCs w:val="24"/>
        </w:rPr>
        <w:t xml:space="preserve">2. APPLICABILITY</w:t>
      </w:r>
    </w:p>
    <w:p>
      <w:pPr>
        <w:pBdr>
          <w:bottom w:val="single" w:color="0D3B6E" w:sz="8" w:space="1"/>
        </w:pBdr>
        <w:spacing w:after="120" w:before="0"/>
      </w:pPr>
      <w:r>
        <w:t xml:space="preserve"/>
      </w:r>
    </w:p>
    <w:p>
      <w:pPr>
        <w:spacing w:after="60" w:before="60"/>
        <w:ind w:left="720"/>
      </w:pPr>
      <w:r>
        <w:rPr>
          <w:rFonts w:ascii="Arial" w:cs="Arial" w:eastAsia="Arial" w:hAnsi="Arial"/>
          <w:color w:val="1A1A1A"/>
          <w:sz w:val="20"/>
          <w:szCs w:val="20"/>
        </w:rPr>
        <w:t xml:space="preserve">•  All new system development projects (internal and outsourced)</w:t>
      </w:r>
    </w:p>
    <w:p>
      <w:pPr>
        <w:spacing w:after="60" w:before="60"/>
        <w:ind w:left="720"/>
      </w:pPr>
      <w:r>
        <w:rPr>
          <w:rFonts w:ascii="Arial" w:cs="Arial" w:eastAsia="Arial" w:hAnsi="Arial"/>
          <w:color w:val="1A1A1A"/>
          <w:sz w:val="20"/>
          <w:szCs w:val="20"/>
        </w:rPr>
        <w:t xml:space="preserve">•  System enhancement or major change projects (&gt;40 development hours)</w:t>
      </w:r>
    </w:p>
    <w:p>
      <w:pPr>
        <w:spacing w:after="60" w:before="60"/>
        <w:ind w:left="720"/>
      </w:pPr>
      <w:r>
        <w:rPr>
          <w:rFonts w:ascii="Arial" w:cs="Arial" w:eastAsia="Arial" w:hAnsi="Arial"/>
          <w:color w:val="1A1A1A"/>
          <w:sz w:val="20"/>
          <w:szCs w:val="20"/>
        </w:rPr>
        <w:t xml:space="preserve">•  Third-party / vendor-supplied systems requiring integration</w:t>
      </w:r>
    </w:p>
    <w:p>
      <w:pPr>
        <w:spacing w:after="60" w:before="60"/>
        <w:ind w:left="720"/>
      </w:pPr>
      <w:r>
        <w:rPr>
          <w:rFonts w:ascii="Arial" w:cs="Arial" w:eastAsia="Arial" w:hAnsi="Arial"/>
          <w:color w:val="1A1A1A"/>
          <w:sz w:val="20"/>
          <w:szCs w:val="20"/>
        </w:rPr>
        <w:t xml:space="preserve">•  Cloud-hosted SaaS platforms procured for core business functions</w:t>
      </w:r>
    </w:p>
    <w:p>
      <w:pPr>
        <w:spacing w:after="60" w:before="60"/>
        <w:ind w:left="720"/>
      </w:pPr>
      <w:r>
        <w:rPr>
          <w:rFonts w:ascii="Arial" w:cs="Arial" w:eastAsia="Arial" w:hAnsi="Arial"/>
          <w:color w:val="1A1A1A"/>
          <w:sz w:val="20"/>
          <w:szCs w:val="20"/>
        </w:rPr>
        <w:t xml:space="preserve">•  Legacy system re-engineering or migration projects</w:t>
      </w:r>
    </w:p>
    <w:p>
      <w:pPr>
        <w:spacing w:after="160" w:before="0"/>
      </w:pPr>
      <w:r>
        <w:t xml:space="preserve"/>
      </w:r>
    </w:p>
    <w:p>
      <w:pPr>
        <w:spacing w:after="140" w:before="280"/>
      </w:pPr>
      <w:r>
        <w:rPr>
          <w:rFonts w:ascii="Arial" w:cs="Arial" w:eastAsia="Arial" w:hAnsi="Arial"/>
          <w:b/>
          <w:bCs/>
          <w:color w:val="0D3B6E"/>
          <w:sz w:val="24"/>
          <w:szCs w:val="24"/>
        </w:rPr>
        <w:t xml:space="preserve">3. DOCUMENTATION GOVERNANCE</w:t>
      </w:r>
    </w:p>
    <w:p>
      <w:pPr>
        <w:pBdr>
          <w:bottom w:val="single" w:color="0D3B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30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Responsibility</w:t>
            </w:r>
          </w:p>
        </w:tc>
        <w:tc>
          <w:tcPr>
            <w:tcW w:type="dxa" w:w="39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Accountability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Project Manager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Ensures all mandatory documents are produced on schedule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Signs off on completeness checklist at each phase gate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Business Analyst</w:t>
            </w:r>
          </w:p>
        </w:tc>
        <w:tc>
          <w:tcPr>
            <w:tcW w:type="dxa" w:w="3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Authors BRD, FRS, and UAT documentation</w:t>
            </w:r>
          </w:p>
        </w:tc>
        <w:tc>
          <w:tcPr>
            <w:tcW w:type="dxa" w:w="3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Obtains business stakeholder sign-off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Solution Architect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Produces HLD, LLD, Security Architecture, and Infrastructure Design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Reviews and approves design documents</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Developer / Tech Lead</w:t>
            </w:r>
          </w:p>
        </w:tc>
        <w:tc>
          <w:tcPr>
            <w:tcW w:type="dxa" w:w="3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Produces coding standards, code review records, and unit test evidence</w:t>
            </w:r>
          </w:p>
        </w:tc>
        <w:tc>
          <w:tcPr>
            <w:tcW w:type="dxa" w:w="3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Signs off on code quality gates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QA Lead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Authors test plans, SIT/UAT cases, and defect logs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Certifies testing completeness</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CISO / Security Team</w:t>
            </w:r>
          </w:p>
        </w:tc>
        <w:tc>
          <w:tcPr>
            <w:tcW w:type="dxa" w:w="30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Reviews security architecture and pen test reports</w:t>
            </w:r>
          </w:p>
        </w:tc>
        <w:tc>
          <w:tcPr>
            <w:tcW w:type="dxa" w:w="39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Approves security clearance for deployment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Change Advisory Board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Reviews and approves all production deployment packages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Issues CAB approval record</w:t>
            </w:r>
          </w:p>
        </w:tc>
      </w:tr>
    </w:tbl>
    <w:p>
      <w:pPr>
        <w:spacing w:after="200" w:before="0"/>
      </w:pPr>
      <w:r>
        <w:t xml:space="preserve"/>
      </w:r>
    </w:p>
    <w:p>
      <w:pPr>
        <w:spacing w:after="140" w:before="280"/>
      </w:pPr>
      <w:r>
        <w:rPr>
          <w:rFonts w:ascii="Arial" w:cs="Arial" w:eastAsia="Arial" w:hAnsi="Arial"/>
          <w:b/>
          <w:bCs/>
          <w:color w:val="0D3B6E"/>
          <w:sz w:val="24"/>
          <w:szCs w:val="24"/>
        </w:rPr>
        <w:t xml:space="preserve">4. DOCUMENTATION REQUIREMENTS BY SDLC PHASE</w:t>
      </w:r>
    </w:p>
    <w:p>
      <w:pPr>
        <w:pBdr>
          <w:bottom w:val="single" w:color="0D3B6E" w:sz="8" w:space="1"/>
        </w:pBdr>
        <w:spacing w:after="120" w:before="0"/>
      </w:pPr>
      <w:r>
        <w:t xml:space="preserve"/>
      </w:r>
    </w:p>
    <w:p>
      <w:pPr>
        <w:spacing w:after="100" w:before="80"/>
      </w:pPr>
      <w:r>
        <w:rPr>
          <w:rFonts w:ascii="Arial" w:cs="Arial" w:eastAsia="Arial" w:hAnsi="Arial"/>
          <w:color w:val="1A1A1A"/>
          <w:sz w:val="20"/>
          <w:szCs w:val="20"/>
        </w:rPr>
        <w:t xml:space="preserve">The following tables define the mandatory and recommended documents for each SDLC phase. All mandatory documents must be completed and approved before the phase gate exit. Recommended documents are required where applicable to project complexity.</w:t>
      </w:r>
    </w:p>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1: Project Initiation &amp; Planning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Project Charter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Defines scope, objectives, stakeholders, budget, and high-level timeline. Approved by Project Sponsor and CISO.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Feasibility Study</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Technical, financial, and regulatory feasibility assessment including SBP ETGRMF alignment check.</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Risk Assessment (Initial)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Identifies project-level technology and information security risks at initiation.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Project Plan (MS Project / Jira)</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Work breakdown structure, resource allocation, milestones, and dependencies.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Stakeholder Register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All internal and external stakeholders with roles, responsibilities, and communication plan.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Recommended</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2: Requirements &amp; Analysis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Business Requirements Document (BRD)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Formal capture of business needs, regulatory constraints (SBP, SECP, PCI DSS), and success criteria.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Functional Requirements Specification (FRS)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Detailed functional requirements, use cases, and user stories. Signed off by business owners.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Non-Functional Requirements (NFR)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Performance, security, availability, scalability, and compliance requirements.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Data Flow Diagrams (DFD)</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Visual representation of data movement; reviewed for PII and sensitive data classification.</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Regulatory Compliance Checklist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Mapping of requirements to SBP, SECP, and applicable framework controls.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3: System 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High-Level Design (HLD)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Architecture overview, technology stack, integration landscape, and DR/HA design.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Low-Level Design (LLD)</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Module-level design, database schema, API contracts, and interface specifications.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Security Architecture Document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Security controls, encryption standards, authentication/authorisation design, and threat 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Infrastructure Design Document</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Server specifications, network topology, cloud deployment model, and capacity plan.</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Data Dictionary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Definition of all data elements, formats, classifications, and retention rules.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Recommended</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4: Development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Coding Standards &amp; Guidelines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Language-specific standards, naming conventions, and secure coding practices (OWASP).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Code Review Records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Evidence of peer code reviews against standards. Minimum two reviewers for critical modules.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Version Control Log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Git/SVN commit history with change descriptions and developer sign-off.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Unit Test Cases &amp; Results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Developer-authored test cases with pass/fail outcomes. Minimum 80% code coverage.</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SAST / DAST Scan Reports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Static and dynamic application security test results with remediation evidence.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5: Testing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Test Plan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Overall testing strategy, scope, entry/exit criteria, and schedule.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System Integration Test (SIT) Cases &amp; Results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End-to-end integration test cases, execution evidence, and defect log.</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User Acceptance Test (UAT) Cases &amp; Results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Business-user-driven UAT with sign-off from business owners.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Performance Test Report</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Load, stress, and endurance test results against NFR benchmarks.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Security / Penetration Test Report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Results of ethical hacking / pen test; risk-rated findings and remediation plan.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Defect Log &amp; Resolution Register</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Complete defect lifecycle — raised, triaged, resolved, and closed with evidence.</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6: Deployment &amp; Release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Deployment Plan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Step-by-step deployment runbook, rollback procedures, and go/no-go criteria.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Release Notes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Summary of changes, known issues, and post-deployment verification checklist.</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Change Advisory Board (CAB) Approval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Formal CAB sign-off evidencing risk assessment and approval for production change.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Post-Deployment Verification Report</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Evidence that production deployment was validated against acceptance criteria.</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7: Training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 Needs Analysis (TNA)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Identification of user groups, skill gaps, and training delivery methods.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Training Materials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Presentations, user guides, quick reference cards, and e-learning modules.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 Delivery Records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Attendance registers, completion certificates, and trainer sign-off.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Training Effectiveness Assessment</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Post-training evaluation scores and feedback analysis.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Recommended</w:t>
            </w:r>
          </w:p>
        </w:tc>
      </w:tr>
    </w:tbl>
    <w:p>
      <w:pPr>
        <w:spacing w:after="160" w:before="0"/>
      </w:pPr>
      <w:r>
        <w:t xml:space="preserve"/>
      </w:r>
    </w:p>
    <w:p>
      <w:pPr>
        <w:pBdr>
          <w:left w:val="single" w:color="0D3B6E" w:sz="20" w:space="1"/>
        </w:pBdr>
        <w:shd w:fill="D0E4F7" w:val="clear"/>
        <w:spacing w:after="100" w:before="200"/>
        <w:ind w:left="0"/>
      </w:pPr>
      <w:r>
        <w:rPr>
          <w:rFonts w:ascii="Arial" w:cs="Arial" w:eastAsia="Arial" w:hAnsi="Arial"/>
          <w:b/>
          <w:bCs/>
          <w:color w:val="0D3B6E"/>
          <w:sz w:val="22"/>
          <w:szCs w:val="22"/>
        </w:rPr>
        <w:t xml:space="preserve">  Phase 8: Operations &amp; Maintenance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Document Name</w:t>
            </w:r>
          </w:p>
        </w:tc>
        <w:tc>
          <w:tcPr>
            <w:tcW w:type="dxa" w:w="51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Description &amp; Content Requirements</w:t>
            </w:r>
          </w:p>
        </w:tc>
        <w:tc>
          <w:tcPr>
            <w:tcW w:type="dxa" w:w="18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System Operations Manual (SOM)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Day-to-day operations procedures, scheduled jobs, monitoring thresholds, and escalation paths.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Incident &amp; Problem Management Procedures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Procedures for logging, triaging, resolving, and reviewing incidents and problems.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Patch &amp; Vulnerability Management Records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Evidence of patch assessment, approval, application, and verification.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Mandatory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Capacity &amp; Performance Review Reports</w:t>
            </w:r>
          </w:p>
        </w:tc>
        <w:tc>
          <w:tcPr>
            <w:tcW w:type="dxa" w:w="51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Periodic reports on system utilisation versus NFR benchmarks.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Recommended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End-of-Life / Decommission Plan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Documented plan for system retirement including data archival and license surrender.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Recommended</w:t>
            </w:r>
          </w:p>
        </w:tc>
      </w:tr>
    </w:tbl>
    <w:p>
      <w:pPr>
        <w:spacing w:after="200" w:before="0"/>
      </w:pPr>
      <w:r>
        <w:t xml:space="preserve"/>
      </w:r>
    </w:p>
    <w:p>
      <w:pPr>
        <w:spacing w:after="140" w:before="280"/>
      </w:pPr>
      <w:r>
        <w:rPr>
          <w:rFonts w:ascii="Arial" w:cs="Arial" w:eastAsia="Arial" w:hAnsi="Arial"/>
          <w:b/>
          <w:bCs/>
          <w:color w:val="0D3B6E"/>
          <w:sz w:val="24"/>
          <w:szCs w:val="24"/>
        </w:rPr>
        <w:t xml:space="preserve">5. DOCUMENT CONTROL STANDARDS</w:t>
      </w:r>
    </w:p>
    <w:p>
      <w:pPr>
        <w:pBdr>
          <w:bottom w:val="single" w:color="0D3B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Standard</w:t>
            </w:r>
          </w:p>
        </w:tc>
        <w:tc>
          <w:tcPr>
            <w:tcW w:type="dxa" w:w="6760"/>
            <w:tcBorders>
              <w:top w:val="single" w:color="0D3B6E" w:sz="6"/>
              <w:left w:val="single" w:color="0D3B6E" w:sz="6"/>
              <w:bottom w:val="single" w:color="0D3B6E" w:sz="6"/>
              <w:right w:val="single" w:color="0D3B6E" w:sz="6"/>
            </w:tcBorders>
            <w:shd w:fill="0D3B6E"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Version Control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All documents must carry version number (e.g. v1.0, v1.1), author, reviewer, and approval date on the cover page.</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Naming Convention</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[ProjectCode]-[DocType]-[Version].docx (e.g. CBSP-BRD-v2.1.docx). Stored in the ComplyVerse document repository.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Review &amp; Approval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Each document requires a minimum of one author, one reviewer, and one approver. Approver must be at least Team Lead level.</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Storage &amp; Access</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All SDLC documents stored in the ComplyVerse GRC platform under the relevant project. Access governed by role-based permissions.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3B6E"/>
                <w:sz w:val="19"/>
                <w:szCs w:val="19"/>
              </w:rPr>
              <w:t xml:space="preserve">Retention Period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SDLC documentation retained for a minimum of 7 years post-project closure, or as required by SBP/SECP regulations.</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3B6E"/>
                <w:sz w:val="19"/>
                <w:szCs w:val="19"/>
              </w:rPr>
              <w:t xml:space="preserve">Audit Availability</w:t>
            </w:r>
          </w:p>
        </w:tc>
        <w:tc>
          <w:tcPr>
            <w:tcW w:type="dxa" w:w="67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All documentation must be available for SBP, SECP, or internal/external audit within 5 working days of request.</w:t>
            </w:r>
          </w:p>
        </w:tc>
      </w:tr>
    </w:tbl>
    <w:p>
      <w:pPr>
        <w:spacing w:after="200" w:before="0"/>
      </w:pPr>
      <w:r>
        <w:t xml:space="preserve"/>
      </w:r>
    </w:p>
    <w:p>
      <w:pPr>
        <w:spacing w:after="140" w:before="280"/>
      </w:pPr>
      <w:r>
        <w:rPr>
          <w:rFonts w:ascii="Arial" w:cs="Arial" w:eastAsia="Arial" w:hAnsi="Arial"/>
          <w:b/>
          <w:bCs/>
          <w:color w:val="0D3B6E"/>
          <w:sz w:val="24"/>
          <w:szCs w:val="24"/>
        </w:rPr>
        <w:t xml:space="preserve">6. PHASE GATE EXIT CRITERIA</w:t>
      </w:r>
    </w:p>
    <w:p>
      <w:pPr>
        <w:pBdr>
          <w:bottom w:val="single" w:color="0D3B6E" w:sz="8" w:space="1"/>
        </w:pBdr>
        <w:spacing w:after="120" w:before="0"/>
      </w:pPr>
      <w:r>
        <w:t xml:space="preserve"/>
      </w:r>
    </w:p>
    <w:p>
      <w:pPr>
        <w:spacing w:after="100" w:before="80"/>
      </w:pPr>
      <w:r>
        <w:rPr>
          <w:rFonts w:ascii="Arial" w:cs="Arial" w:eastAsia="Arial" w:hAnsi="Arial"/>
          <w:color w:val="1A1A1A"/>
          <w:sz w:val="20"/>
          <w:szCs w:val="20"/>
        </w:rPr>
        <w:t xml:space="preserve">No project may progress to the next SDLC phase unless all mandatory documents for the current phase are complete, reviewed, and approved. The Project Manager must submit a signed Phase Gate Checklist (Template: CV-TMPL-PHG) to the IT Governance function before phase exit approval is granted.</w:t>
      </w:r>
    </w:p>
    <w:p>
      <w:pPr>
        <w:spacing w:after="200" w:before="0"/>
      </w:pPr>
      <w:r>
        <w:t xml:space="preserve"/>
      </w:r>
    </w:p>
    <w:p>
      <w:pPr>
        <w:spacing w:after="140" w:before="280"/>
      </w:pPr>
      <w:r>
        <w:rPr>
          <w:rFonts w:ascii="Arial" w:cs="Arial" w:eastAsia="Arial" w:hAnsi="Arial"/>
          <w:b/>
          <w:bCs/>
          <w:color w:val="0D3B6E"/>
          <w:sz w:val="24"/>
          <w:szCs w:val="24"/>
        </w:rPr>
        <w:t xml:space="preserve">7. APPROVAL</w:t>
      </w:r>
    </w:p>
    <w:p>
      <w:pPr>
        <w:pBdr>
          <w:bottom w:val="single" w:color="0D3B6E" w:sz="8" w:space="1"/>
        </w:pBdr>
        <w:spacing w:after="12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0E4F7" w:sz="6"/>
              <w:left w:val="single" w:color="D0E4F7" w:sz="6"/>
              <w:bottom w:val="single" w:color="D0E4F7" w:sz="6"/>
              <w:right w:val="single" w:color="D0E4F7" w:sz="6"/>
            </w:tcBorders>
            <w:tcMar>
              <w:top w:type="dxa" w:w="160"/>
              <w:left w:type="dxa" w:w="180"/>
              <w:bottom w:type="dxa" w:w="200"/>
              <w:right w:type="dxa" w:w="180"/>
            </w:tcMar>
          </w:tcPr>
          <w:p>
            <w:r>
              <w:rPr>
                <w:rFonts w:ascii="Arial" w:cs="Arial" w:eastAsia="Arial" w:hAnsi="Arial"/>
                <w:b/>
                <w:bCs/>
                <w:color w:val="0D3B6E"/>
                <w:sz w:val="17"/>
                <w:szCs w:val="17"/>
              </w:rPr>
              <w:t xml:space="preserve">Head of IT Governance</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c>
          <w:tcPr>
            <w:tcW w:type="dxa" w:w="4860"/>
            <w:tcBorders>
              <w:top w:val="single" w:color="D0E4F7" w:sz="6"/>
              <w:left w:val="single" w:color="D0E4F7" w:sz="6"/>
              <w:bottom w:val="single" w:color="D0E4F7" w:sz="6"/>
              <w:right w:val="single" w:color="D0E4F7" w:sz="6"/>
            </w:tcBorders>
            <w:tcMar>
              <w:top w:type="dxa" w:w="160"/>
              <w:left w:type="dxa" w:w="180"/>
              <w:bottom w:type="dxa" w:w="200"/>
              <w:right w:type="dxa" w:w="180"/>
            </w:tcMar>
          </w:tcPr>
          <w:p>
            <w:r>
              <w:rPr>
                <w:rFonts w:ascii="Arial" w:cs="Arial" w:eastAsia="Arial" w:hAnsi="Arial"/>
                <w:b/>
                <w:bCs/>
                <w:color w:val="0D3B6E"/>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0D3B6E" w:sz="16" w:space="1"/>
        </w:pBdr>
        <w:shd w:fill="F4F6FA" w:val="clear"/>
        <w:spacing w:after="0" w:before="0"/>
        <w:ind w:left="240"/>
      </w:pPr>
      <w:r>
        <w:rPr>
          <w:rFonts w:ascii="Arial" w:cs="Arial" w:eastAsia="Arial" w:hAnsi="Arial"/>
          <w:color w:val="555555"/>
          <w:sz w:val="16"/>
          <w:szCs w:val="16"/>
        </w:rPr>
        <w:t xml:space="preserve">Official Use Only  |  Document Ref: CV-SDLC-PROC-001  |  ComplyVerse GRC Platform  |  SBP ETGRMF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2026-04-01T07:49:20.005Z</dcterms:created>
  <dcterms:modified xsi:type="dcterms:W3CDTF">2026-04-01T07:49:20.006Z</dcterms:modified>
</cp:coreProperties>
</file>

<file path=docProps/custom.xml><?xml version="1.0" encoding="utf-8"?>
<Properties xmlns="http://schemas.openxmlformats.org/officeDocument/2006/custom-properties" xmlns:vt="http://schemas.openxmlformats.org/officeDocument/2006/docPropsVTypes"/>
</file>