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E6B6B" w:val="clear"/>
        <w:spacing w:after="0" w:before="0"/>
      </w:pPr>
      <w:r>
        <w:rPr>
          <w:rFonts w:ascii="Arial" w:cs="Arial" w:eastAsia="Arial" w:hAnsi="Arial"/>
          <w:b/>
          <w:bCs/>
          <w:color w:val="FFFFFF"/>
          <w:sz w:val="32"/>
          <w:szCs w:val="32"/>
        </w:rPr>
        <w:t xml:space="preserve">COMPLYVERSE  |  ACCESS CONTROL CONFIGURATIONS — SoD ENFORCEMENT</w:t>
      </w:r>
    </w:p>
    <w:p>
      <w:pPr>
        <w:shd w:fill="0E6B6B" w:val="clear"/>
        <w:spacing w:after="280" w:before="60"/>
      </w:pPr>
      <w:r>
        <w:rPr>
          <w:rFonts w:ascii="Arial" w:cs="Arial" w:eastAsia="Arial" w:hAnsi="Arial"/>
          <w:color w:val="A8E0E0"/>
          <w:sz w:val="22"/>
          <w:szCs w:val="22"/>
        </w:rPr>
        <w:t xml:space="preserve">Technical SoD Controls Evidence — ISO/IEC 27001:2022 Annex A.5.3, A.8.2, A.8.3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F0F0" w:sz="4"/>
              <w:left w:val="single" w:color="D0F0F0" w:sz="4"/>
              <w:bottom w:val="single" w:color="D0F0F0" w:sz="4"/>
              <w:right w:val="single" w:color="D0F0F0" w:sz="4"/>
            </w:tcBorders>
            <w:shd w:fill="D0F0F0" w:val="clear"/>
            <w:tcMar>
              <w:top w:type="dxa" w:w="100"/>
              <w:left w:type="dxa" w:w="160"/>
              <w:bottom w:type="dxa" w:w="100"/>
              <w:right w:type="dxa" w:w="160"/>
            </w:tcMar>
          </w:tcPr>
          <w:p>
            <w:r>
              <w:rPr>
                <w:rFonts w:ascii="Arial" w:cs="Arial" w:eastAsia="Arial" w:hAnsi="Arial"/>
                <w:b/>
                <w:bCs/>
                <w:color w:val="0E6B6B"/>
                <w:sz w:val="17"/>
                <w:szCs w:val="17"/>
              </w:rPr>
              <w:t xml:space="preserve">Document Ref</w:t>
            </w:r>
          </w:p>
          <w:p>
            <w:r>
              <w:rPr>
                <w:rFonts w:ascii="Arial" w:cs="Arial" w:eastAsia="Arial" w:hAnsi="Arial"/>
                <w:color w:val="1A1A1A"/>
                <w:sz w:val="19"/>
                <w:szCs w:val="19"/>
              </w:rPr>
              <w:t xml:space="preserve">CV-SOD-ACC-002</w:t>
            </w:r>
          </w:p>
        </w:tc>
        <w:tc>
          <w:tcPr>
            <w:tcW w:type="dxa" w:w="2340"/>
            <w:tcBorders>
              <w:top w:val="single" w:color="D0F0F0" w:sz="4"/>
              <w:left w:val="single" w:color="D0F0F0" w:sz="4"/>
              <w:bottom w:val="single" w:color="D0F0F0" w:sz="4"/>
              <w:right w:val="single" w:color="D0F0F0" w:sz="4"/>
            </w:tcBorders>
            <w:shd w:fill="D0F0F0" w:val="clear"/>
            <w:tcMar>
              <w:top w:type="dxa" w:w="100"/>
              <w:left w:type="dxa" w:w="160"/>
              <w:bottom w:type="dxa" w:w="100"/>
              <w:right w:type="dxa" w:w="160"/>
            </w:tcMar>
          </w:tcPr>
          <w:p>
            <w:r>
              <w:rPr>
                <w:rFonts w:ascii="Arial" w:cs="Arial" w:eastAsia="Arial" w:hAnsi="Arial"/>
                <w:b/>
                <w:bCs/>
                <w:color w:val="0E6B6B"/>
                <w:sz w:val="17"/>
                <w:szCs w:val="17"/>
              </w:rPr>
              <w:t xml:space="preserve">Effective Date</w:t>
            </w:r>
          </w:p>
          <w:p>
            <w:r>
              <w:rPr>
                <w:rFonts w:ascii="Arial" w:cs="Arial" w:eastAsia="Arial" w:hAnsi="Arial"/>
                <w:color w:val="1A1A1A"/>
                <w:sz w:val="19"/>
                <w:szCs w:val="19"/>
              </w:rPr>
              <w:t xml:space="preserve">March 28, 2025</w:t>
            </w:r>
          </w:p>
        </w:tc>
        <w:tc>
          <w:tcPr>
            <w:tcW w:type="dxa" w:w="2340"/>
            <w:tcBorders>
              <w:top w:val="single" w:color="D0F0F0" w:sz="4"/>
              <w:left w:val="single" w:color="D0F0F0" w:sz="4"/>
              <w:bottom w:val="single" w:color="D0F0F0" w:sz="4"/>
              <w:right w:val="single" w:color="D0F0F0" w:sz="4"/>
            </w:tcBorders>
            <w:shd w:fill="D0F0F0" w:val="clear"/>
            <w:tcMar>
              <w:top w:type="dxa" w:w="100"/>
              <w:left w:type="dxa" w:w="160"/>
              <w:bottom w:type="dxa" w:w="100"/>
              <w:right w:type="dxa" w:w="160"/>
            </w:tcMar>
          </w:tcPr>
          <w:p>
            <w:r>
              <w:rPr>
                <w:rFonts w:ascii="Arial" w:cs="Arial" w:eastAsia="Arial" w:hAnsi="Arial"/>
                <w:b/>
                <w:bCs/>
                <w:color w:val="0E6B6B"/>
                <w:sz w:val="17"/>
                <w:szCs w:val="17"/>
              </w:rPr>
              <w:t xml:space="preserve">ISO Controls</w:t>
            </w:r>
          </w:p>
          <w:p>
            <w:r>
              <w:rPr>
                <w:rFonts w:ascii="Arial" w:cs="Arial" w:eastAsia="Arial" w:hAnsi="Arial"/>
                <w:color w:val="1A1A1A"/>
                <w:sz w:val="19"/>
                <w:szCs w:val="19"/>
              </w:rPr>
              <w:t xml:space="preserve">A.5.3, A.8.2, A.8.3</w:t>
            </w:r>
          </w:p>
        </w:tc>
        <w:tc>
          <w:tcPr>
            <w:tcW w:type="dxa" w:w="2340"/>
            <w:tcBorders>
              <w:top w:val="single" w:color="D0F0F0" w:sz="4"/>
              <w:left w:val="single" w:color="D0F0F0" w:sz="4"/>
              <w:bottom w:val="single" w:color="D0F0F0" w:sz="4"/>
              <w:right w:val="single" w:color="D0F0F0" w:sz="4"/>
            </w:tcBorders>
            <w:shd w:fill="D0F0F0" w:val="clear"/>
            <w:tcMar>
              <w:top w:type="dxa" w:w="100"/>
              <w:left w:type="dxa" w:w="160"/>
              <w:bottom w:type="dxa" w:w="100"/>
              <w:right w:type="dxa" w:w="160"/>
            </w:tcMar>
          </w:tcPr>
          <w:p>
            <w:r>
              <w:rPr>
                <w:rFonts w:ascii="Arial" w:cs="Arial" w:eastAsia="Arial" w:hAnsi="Arial"/>
                <w:b/>
                <w:bCs/>
                <w:color w:val="0E6B6B"/>
                <w:sz w:val="17"/>
                <w:szCs w:val="17"/>
              </w:rPr>
              <w:t xml:space="preserve">Review Cycle</w:t>
            </w:r>
          </w:p>
          <w:p>
            <w:r>
              <w:rPr>
                <w:rFonts w:ascii="Arial" w:cs="Arial" w:eastAsia="Arial" w:hAnsi="Arial"/>
                <w:color w:val="1A1A1A"/>
                <w:sz w:val="19"/>
                <w:szCs w:val="19"/>
              </w:rPr>
              <w:t xml:space="preserve">Quarterly</w:t>
            </w:r>
          </w:p>
        </w:tc>
      </w:tr>
    </w:tbl>
    <w:p>
      <w:pPr>
        <w:spacing w:after="200" w:before="0"/>
      </w:pPr>
      <w:r>
        <w:t xml:space="preserve"/>
      </w:r>
    </w:p>
    <w:p>
      <w:pPr>
        <w:spacing w:after="140" w:before="280"/>
      </w:pPr>
      <w:r>
        <w:rPr>
          <w:rFonts w:ascii="Arial" w:cs="Arial" w:eastAsia="Arial" w:hAnsi="Arial"/>
          <w:b/>
          <w:bCs/>
          <w:color w:val="0E6B6B"/>
          <w:sz w:val="24"/>
          <w:szCs w:val="24"/>
        </w:rPr>
        <w:t xml:space="preserve">1. PURPOSE</w:t>
      </w:r>
    </w:p>
    <w:p>
      <w:pPr>
        <w:pBdr>
          <w:bottom w:val="single" w:color="0E6B6B" w:sz="8" w:space="1"/>
        </w:pBdr>
        <w:spacing w:after="120" w:before="0"/>
      </w:pPr>
      <w:r>
        <w:t xml:space="preserve"/>
      </w:r>
    </w:p>
    <w:p>
      <w:pPr>
        <w:spacing w:after="100" w:before="80"/>
      </w:pPr>
      <w:r>
        <w:rPr>
          <w:rFonts w:ascii="Arial" w:cs="Arial" w:eastAsia="Arial" w:hAnsi="Arial"/>
          <w:color w:val="1A1A1A"/>
          <w:sz w:val="20"/>
          <w:szCs w:val="20"/>
        </w:rPr>
        <w:t xml:space="preserve">This document provides evidence of the technical access control configurations implemented across DemoTech Enterprises (Pvt.) Ltd.'s IT systems to enforce the Segregation of Duties requirements defined in the SoD Matrix (CV-SOD-MTX-001). Each configuration entry maps directly to a conflict category in the matrix and provides the specific system control, enforcement status, and tooling reference.</w:t>
      </w:r>
    </w:p>
    <w:p>
      <w:pPr>
        <w:spacing w:after="160" w:before="0"/>
      </w:pPr>
      <w:r>
        <w:t xml:space="preserve"/>
      </w:r>
    </w:p>
    <w:p>
      <w:pPr>
        <w:spacing w:after="140" w:before="280"/>
      </w:pPr>
      <w:r>
        <w:rPr>
          <w:rFonts w:ascii="Arial" w:cs="Arial" w:eastAsia="Arial" w:hAnsi="Arial"/>
          <w:b/>
          <w:bCs/>
          <w:color w:val="0E6B6B"/>
          <w:sz w:val="24"/>
          <w:szCs w:val="24"/>
        </w:rPr>
        <w:t xml:space="preserve">2. ENFORCEMENT STATUS KEY</w:t>
      </w:r>
    </w:p>
    <w:p>
      <w:pPr>
        <w:pBdr>
          <w:bottom w:val="single" w:color="0E6B6B" w:sz="8" w:space="1"/>
        </w:pBdr>
        <w:spacing w:after="12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EDDA" w:sz="4"/>
              <w:left w:val="single" w:color="D4EDDA" w:sz="4"/>
              <w:bottom w:val="single" w:color="D4EDDA" w:sz="4"/>
              <w:right w:val="single" w:color="D4EDDA" w:sz="4"/>
            </w:tcBorders>
            <w:shd w:fill="D4EDDA" w:val="clear"/>
            <w:tcMar>
              <w:top w:type="dxa" w:w="80"/>
              <w:left w:type="dxa" w:w="120"/>
              <w:bottom w:type="dxa" w:w="80"/>
              <w:right w:type="dxa" w:w="120"/>
            </w:tcMar>
          </w:tcPr>
          <w:p>
            <w:pPr>
              <w:jc w:val="center"/>
            </w:pPr>
            <w:r>
              <w:rPr>
                <w:rFonts w:ascii="Arial" w:cs="Arial" w:eastAsia="Arial" w:hAnsi="Arial"/>
                <w:b/>
                <w:bCs/>
                <w:color w:val="1A8C3A"/>
                <w:sz w:val="18"/>
                <w:szCs w:val="18"/>
              </w:rPr>
              <w:t xml:space="preserve">ENFORCED — Technical control active and validated in last review cycle.</w:t>
            </w:r>
          </w:p>
        </w:tc>
        <w:tc>
          <w:tcPr>
            <w:tcW w:type="dxa" w:w="3120"/>
            <w:tcBorders>
              <w:top w:val="single" w:color="FFF3CD" w:sz="4"/>
              <w:left w:val="single" w:color="FFF3CD" w:sz="4"/>
              <w:bottom w:val="single" w:color="FFF3CD" w:sz="4"/>
              <w:right w:val="single" w:color="FFF3CD" w:sz="4"/>
            </w:tcBorders>
            <w:shd w:fill="FFF3CD" w:val="clear"/>
            <w:tcMar>
              <w:top w:type="dxa" w:w="80"/>
              <w:left w:type="dxa" w:w="120"/>
              <w:bottom w:type="dxa" w:w="80"/>
              <w:right w:type="dxa" w:w="120"/>
            </w:tcMar>
          </w:tcPr>
          <w:p>
            <w:pPr>
              <w:jc w:val="center"/>
            </w:pPr>
            <w:r>
              <w:rPr>
                <w:rFonts w:ascii="Arial" w:cs="Arial" w:eastAsia="Arial" w:hAnsi="Arial"/>
                <w:b/>
                <w:bCs/>
                <w:color w:val="D4860A"/>
                <w:sz w:val="18"/>
                <w:szCs w:val="18"/>
              </w:rPr>
              <w:t xml:space="preserve">PARTIAL — Control configured but requires manual process for edge cases.</w:t>
            </w:r>
          </w:p>
        </w:tc>
        <w:tc>
          <w:tcPr>
            <w:tcW w:type="dxa" w:w="3120"/>
            <w:tcBorders>
              <w:top w:val="single" w:color="F5C6C6" w:sz="4"/>
              <w:left w:val="single" w:color="F5C6C6" w:sz="4"/>
              <w:bottom w:val="single" w:color="F5C6C6" w:sz="4"/>
              <w:right w:val="single" w:color="F5C6C6" w:sz="4"/>
            </w:tcBorders>
            <w:shd w:fill="F5C6C6"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MANUAL — No technical control; process/compensating control only (see CV-SOD-CCT-003).</w:t>
            </w:r>
          </w:p>
        </w:tc>
      </w:tr>
    </w:tbl>
    <w:p>
      <w:pPr>
        <w:spacing w:after="200" w:before="0"/>
      </w:pPr>
      <w:r>
        <w:t xml:space="preserve"/>
      </w:r>
    </w:p>
    <w:p>
      <w:pPr>
        <w:spacing w:after="140" w:before="280"/>
      </w:pPr>
      <w:r>
        <w:rPr>
          <w:rFonts w:ascii="Arial" w:cs="Arial" w:eastAsia="Arial" w:hAnsi="Arial"/>
          <w:b/>
          <w:bCs/>
          <w:color w:val="0E6B6B"/>
          <w:sz w:val="24"/>
          <w:szCs w:val="24"/>
        </w:rPr>
        <w:t xml:space="preserve">3. SYSTEM ACCESS CONTROL CONFIGURATIONS</w:t>
      </w:r>
    </w:p>
    <w:p>
      <w:pPr>
        <w:pBdr>
          <w:bottom w:val="single" w:color="0E6B6B" w:sz="8" w:space="1"/>
        </w:pBdr>
        <w:spacing w:after="120" w:before="0"/>
      </w:pPr>
      <w:r>
        <w:t xml:space="preserve"/>
      </w:r>
    </w:p>
    <w:p>
      <w:pPr>
        <w:spacing w:after="160" w:before="0"/>
      </w:pPr>
      <w:r>
        <w:t xml:space="preserve"/>
      </w:r>
    </w:p>
    <w:p>
      <w:pPr>
        <w:pBdr>
          <w:left w:val="single" w:color="0E6B6B" w:sz="20" w:space="1"/>
        </w:pBdr>
        <w:shd w:fill="D0F0F0" w:val="clear"/>
        <w:spacing w:after="100" w:before="200"/>
      </w:pPr>
      <w:r>
        <w:rPr>
          <w:rFonts w:ascii="Arial" w:cs="Arial" w:eastAsia="Arial" w:hAnsi="Arial"/>
          <w:b/>
          <w:bCs/>
          <w:color w:val="0E6B6B"/>
          <w:sz w:val="22"/>
          <w:szCs w:val="22"/>
        </w:rPr>
        <w:t xml:space="preserve">  Active Directory / Entra ID (Identity Provider)  (Ref: SYS-IAM-001)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360"/>
        <w:gridCol w:w="1800"/>
      </w:tblGrid>
      <w:tr>
        <w:tc>
          <w:tcPr>
            <w:tcW w:type="dxa" w:w="22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 Name</w:t>
            </w:r>
          </w:p>
        </w:tc>
        <w:tc>
          <w:tcPr>
            <w:tcW w:type="dxa" w:w="40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Configuration Detail</w:t>
            </w:r>
          </w:p>
        </w:tc>
        <w:tc>
          <w:tcPr>
            <w:tcW w:type="dxa" w:w="136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Status</w:t>
            </w:r>
          </w:p>
        </w:tc>
        <w:tc>
          <w:tcPr>
            <w:tcW w:type="dxa" w:w="18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Enforcement Tool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Role-Based Access Control (RBAC) Groups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AD security groups defined per job function. No user assigned to conflicting groups simultaneously. Group membership reviewed quarterly.</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AD Group Policy / Entra ID Conditional Access</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Privileged Identity Management (PIM)</w:t>
            </w:r>
          </w:p>
        </w:tc>
        <w:tc>
          <w:tcPr>
            <w:tcW w:type="dxa" w:w="4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Just-in-time elevation for Admin roles. Privileged access requires MFA + approval workflow. Session time-limited to 4 hours.</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Microsoft Entra PIM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Separation of Admin &amp; Standard Accounts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system administrators maintain two accounts: a standard user account for daily work and a separate admin account for privileged tasks.</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AD Account Policy</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Developer-to-Production Access Block</w:t>
            </w:r>
          </w:p>
        </w:tc>
        <w:tc>
          <w:tcPr>
            <w:tcW w:type="dxa" w:w="4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Members of 'APP-DEVELOPERS' group are denied membership of 'PROD-DEPLOY' and 'PROD-ADMINS' groups. Technical enforcement via Entra ID group rules.</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Entra ID Group Rules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Conflicting Group Membership Alert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SIEM alert triggered if any user account is added to two or more conflicting AD groups simultaneously. Alert routed to CISO within 15 minutes.</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Microsoft Sentinel</w:t>
            </w:r>
          </w:p>
        </w:tc>
      </w:tr>
    </w:tbl>
    <w:p>
      <w:pPr>
        <w:spacing w:after="80" w:before="0"/>
      </w:pPr>
      <w:r>
        <w:t xml:space="preserve"/>
      </w:r>
    </w:p>
    <w:p>
      <w:pPr>
        <w:spacing w:after="160" w:before="0"/>
      </w:pPr>
      <w:r>
        <w:t xml:space="preserve"/>
      </w:r>
    </w:p>
    <w:p>
      <w:pPr>
        <w:pBdr>
          <w:left w:val="single" w:color="0E6B6B" w:sz="20" w:space="1"/>
        </w:pBdr>
        <w:shd w:fill="D0F0F0" w:val="clear"/>
        <w:spacing w:after="100" w:before="200"/>
      </w:pPr>
      <w:r>
        <w:rPr>
          <w:rFonts w:ascii="Arial" w:cs="Arial" w:eastAsia="Arial" w:hAnsi="Arial"/>
          <w:b/>
          <w:bCs/>
          <w:color w:val="0E6B6B"/>
          <w:sz w:val="22"/>
          <w:szCs w:val="22"/>
        </w:rPr>
        <w:t xml:space="preserve">  Core Banking System — T24  (Ref: SYS-CBS-001)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360"/>
        <w:gridCol w:w="1800"/>
      </w:tblGrid>
      <w:tr>
        <w:tc>
          <w:tcPr>
            <w:tcW w:type="dxa" w:w="22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 Name</w:t>
            </w:r>
          </w:p>
        </w:tc>
        <w:tc>
          <w:tcPr>
            <w:tcW w:type="dxa" w:w="40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Configuration Detail</w:t>
            </w:r>
          </w:p>
        </w:tc>
        <w:tc>
          <w:tcPr>
            <w:tcW w:type="dxa" w:w="136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Status</w:t>
            </w:r>
          </w:p>
        </w:tc>
        <w:tc>
          <w:tcPr>
            <w:tcW w:type="dxa" w:w="18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Enforcement Tool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T24 Function-Level Access Control</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Each T24 version/authorisation configured to permit only one role action (input OR authorise, never both) per user per transaction type.</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T24 Application Security</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Dual-Control for Financial Transactions</w:t>
            </w:r>
          </w:p>
        </w:tc>
        <w:tc>
          <w:tcPr>
            <w:tcW w:type="dxa" w:w="4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financial transactions above PKR 500,000 require input by one user and authorisation by a different user. System blocks self-authorisation.</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T24 Authorisation Framework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Read-Only Mode for Auditors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IT Auditor role in T24 granted VIEW-ONLY permission across all modules. Write/execute permissions not assignable to Auditor profile.</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T24 Role Configuration</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DBA Access to T24 DB Restricted</w:t>
            </w:r>
          </w:p>
        </w:tc>
        <w:tc>
          <w:tcPr>
            <w:tcW w:type="dxa" w:w="4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T24 database admin account (DBACC-T24) is a service account. Human DBA access requires break-glass procedure with 2-person rule and CISO approval.</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T24 DB Access Policy</w:t>
            </w:r>
          </w:p>
        </w:tc>
      </w:tr>
    </w:tbl>
    <w:p>
      <w:pPr>
        <w:spacing w:after="80" w:before="0"/>
      </w:pPr>
      <w:r>
        <w:t xml:space="preserve"/>
      </w:r>
    </w:p>
    <w:p>
      <w:pPr>
        <w:spacing w:after="160" w:before="0"/>
      </w:pPr>
      <w:r>
        <w:t xml:space="preserve"/>
      </w:r>
    </w:p>
    <w:p>
      <w:pPr>
        <w:pBdr>
          <w:left w:val="single" w:color="0E6B6B" w:sz="20" w:space="1"/>
        </w:pBdr>
        <w:shd w:fill="D0F0F0" w:val="clear"/>
        <w:spacing w:after="100" w:before="200"/>
      </w:pPr>
      <w:r>
        <w:rPr>
          <w:rFonts w:ascii="Arial" w:cs="Arial" w:eastAsia="Arial" w:hAnsi="Arial"/>
          <w:b/>
          <w:bCs/>
          <w:color w:val="0E6B6B"/>
          <w:sz w:val="22"/>
          <w:szCs w:val="22"/>
        </w:rPr>
        <w:t xml:space="preserve">  Azure DevOps — CI/CD Pipeline  (Ref: SYS-CICD-001)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360"/>
        <w:gridCol w:w="1800"/>
      </w:tblGrid>
      <w:tr>
        <w:tc>
          <w:tcPr>
            <w:tcW w:type="dxa" w:w="22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 Name</w:t>
            </w:r>
          </w:p>
        </w:tc>
        <w:tc>
          <w:tcPr>
            <w:tcW w:type="dxa" w:w="40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Configuration Detail</w:t>
            </w:r>
          </w:p>
        </w:tc>
        <w:tc>
          <w:tcPr>
            <w:tcW w:type="dxa" w:w="136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Status</w:t>
            </w:r>
          </w:p>
        </w:tc>
        <w:tc>
          <w:tcPr>
            <w:tcW w:type="dxa" w:w="18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Enforcement Tool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Branch Protection Rules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Main and release branches protected. Developers cannot merge their own pull requests to protected branches. Minimum 2 reviewers required.</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Azure DevOps Branch Policies</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Deployment Pipeline — Approver Gate</w:t>
            </w:r>
          </w:p>
        </w:tc>
        <w:tc>
          <w:tcPr>
            <w:tcW w:type="dxa" w:w="4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Production deployment pipeline requires explicit approval from Release Manager. Developer who authored the release cannot self-approve.</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Azure DevOps Approval Gates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Test Environment Separation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Developers have write access to DEV and TEST environments only. PROD environment access restricted to Release Manager and IT Ops roles.</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Azure DevOps Environment RBAC</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Pipeline Variable Secrets</w:t>
            </w:r>
          </w:p>
        </w:tc>
        <w:tc>
          <w:tcPr>
            <w:tcW w:type="dxa" w:w="4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Production secrets and connection strings stored in Azure Key Vault. Developers cannot read production secrets; access limited to pipeline service principal.</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Azure Key Vault RBAC</w:t>
            </w:r>
          </w:p>
        </w:tc>
      </w:tr>
    </w:tbl>
    <w:p>
      <w:pPr>
        <w:spacing w:after="80" w:before="0"/>
      </w:pPr>
      <w:r>
        <w:t xml:space="preserve"/>
      </w:r>
    </w:p>
    <w:p>
      <w:pPr>
        <w:spacing w:after="160" w:before="0"/>
      </w:pPr>
      <w:r>
        <w:t xml:space="preserve"/>
      </w:r>
    </w:p>
    <w:p>
      <w:pPr>
        <w:pBdr>
          <w:left w:val="single" w:color="0E6B6B" w:sz="20" w:space="1"/>
        </w:pBdr>
        <w:shd w:fill="D0F0F0" w:val="clear"/>
        <w:spacing w:after="100" w:before="200"/>
      </w:pPr>
      <w:r>
        <w:rPr>
          <w:rFonts w:ascii="Arial" w:cs="Arial" w:eastAsia="Arial" w:hAnsi="Arial"/>
          <w:b/>
          <w:bCs/>
          <w:color w:val="0E6B6B"/>
          <w:sz w:val="22"/>
          <w:szCs w:val="22"/>
        </w:rPr>
        <w:t xml:space="preserve">  Financial ERP System (SAP)  (Ref: SYS-ERP-001)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360"/>
        <w:gridCol w:w="1800"/>
      </w:tblGrid>
      <w:tr>
        <w:tc>
          <w:tcPr>
            <w:tcW w:type="dxa" w:w="22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 Name</w:t>
            </w:r>
          </w:p>
        </w:tc>
        <w:tc>
          <w:tcPr>
            <w:tcW w:type="dxa" w:w="40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Configuration Detail</w:t>
            </w:r>
          </w:p>
        </w:tc>
        <w:tc>
          <w:tcPr>
            <w:tcW w:type="dxa" w:w="136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Status</w:t>
            </w:r>
          </w:p>
        </w:tc>
        <w:tc>
          <w:tcPr>
            <w:tcW w:type="dxa" w:w="18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Enforcement Tool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SAP GRC Access Control — SoD Rulebook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SAP GRC module configured with 450+ SoD conflict rules. Real-time access risk analysis runs on every role assignment change. Conflicts block provisioning.</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SAP GRC Access Control</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Payment Initiation vs. Approval Separation</w:t>
            </w:r>
          </w:p>
        </w:tc>
        <w:tc>
          <w:tcPr>
            <w:tcW w:type="dxa" w:w="4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SAP payment transactions FB60/F-53 (initiate) and F110 (approve/execute) assigned to mutually exclusive roles. System enforces separation.</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SAP Transaction Code Restrictions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Vendor Master vs. Payment Separation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User with access to XK01 (create vendor) cannot also have access to F110 (run payment). SAP GRC conflict rule VND-PAY-001 blocks this combination.</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SAP GRC Rule VND-PAY-001</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Finance Manager — View vs. Post Control</w:t>
            </w:r>
          </w:p>
        </w:tc>
        <w:tc>
          <w:tcPr>
            <w:tcW w:type="dxa" w:w="4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Finance Manager role has posting access in current period only. Historical period posting requires CFO approval and a separate elevated transaction code.</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SAP Period Control</w:t>
            </w:r>
          </w:p>
        </w:tc>
      </w:tr>
    </w:tbl>
    <w:p>
      <w:pPr>
        <w:spacing w:after="80" w:before="0"/>
      </w:pPr>
      <w:r>
        <w:t xml:space="preserve"/>
      </w:r>
    </w:p>
    <w:p>
      <w:pPr>
        <w:spacing w:after="160" w:before="0"/>
      </w:pPr>
      <w:r>
        <w:t xml:space="preserve"/>
      </w:r>
    </w:p>
    <w:p>
      <w:pPr>
        <w:pBdr>
          <w:left w:val="single" w:color="0E6B6B" w:sz="20" w:space="1"/>
        </w:pBdr>
        <w:shd w:fill="D0F0F0" w:val="clear"/>
        <w:spacing w:after="100" w:before="200"/>
      </w:pPr>
      <w:r>
        <w:rPr>
          <w:rFonts w:ascii="Arial" w:cs="Arial" w:eastAsia="Arial" w:hAnsi="Arial"/>
          <w:b/>
          <w:bCs/>
          <w:color w:val="0E6B6B"/>
          <w:sz w:val="22"/>
          <w:szCs w:val="22"/>
        </w:rPr>
        <w:t xml:space="preserve">  SIEM / Log Management (Microsoft Sentinel)  (Ref: SYS-SIEM-001)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360"/>
        <w:gridCol w:w="1800"/>
      </w:tblGrid>
      <w:tr>
        <w:tc>
          <w:tcPr>
            <w:tcW w:type="dxa" w:w="22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 Name</w:t>
            </w:r>
          </w:p>
        </w:tc>
        <w:tc>
          <w:tcPr>
            <w:tcW w:type="dxa" w:w="40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Configuration Detail</w:t>
            </w:r>
          </w:p>
        </w:tc>
        <w:tc>
          <w:tcPr>
            <w:tcW w:type="dxa" w:w="136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Status</w:t>
            </w:r>
          </w:p>
        </w:tc>
        <w:tc>
          <w:tcPr>
            <w:tcW w:type="dxa" w:w="18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Enforcement Tool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Log Viewer vs. Log Deletion Separation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Security Analyst role (Sentinel Reader) cannot delete or archive log data. Log management actions restricted to Security Officer role only.</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Sentinel RBAC</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Alert Suppression Requires Dual Approval</w:t>
            </w:r>
          </w:p>
        </w:tc>
        <w:tc>
          <w:tcPr>
            <w:tcW w:type="dxa" w:w="4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Suppression of Sentinel alerts requires approval from both the Security Officer AND the IT Auditor. Single-person suppression technically blocked.</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Sentinel Suppression Policy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System Admin Excluded from Audit Log Review</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IT Systems Admins do not have access to the Sentinel workspace where admin activity logs are stored. Log review rights held by Security Officer and Auditor only.</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Sentinel Workspace RBAC</w:t>
            </w:r>
          </w:p>
        </w:tc>
      </w:tr>
    </w:tbl>
    <w:p>
      <w:pPr>
        <w:spacing w:after="80" w:before="0"/>
      </w:pPr>
      <w:r>
        <w:t xml:space="preserve"/>
      </w:r>
    </w:p>
    <w:p>
      <w:pPr>
        <w:spacing w:after="200" w:before="0"/>
      </w:pPr>
      <w:r>
        <w:t xml:space="preserve"/>
      </w:r>
    </w:p>
    <w:p>
      <w:pPr>
        <w:spacing w:after="140" w:before="280"/>
      </w:pPr>
      <w:r>
        <w:rPr>
          <w:rFonts w:ascii="Arial" w:cs="Arial" w:eastAsia="Arial" w:hAnsi="Arial"/>
          <w:b/>
          <w:bCs/>
          <w:color w:val="0E6B6B"/>
          <w:sz w:val="24"/>
          <w:szCs w:val="24"/>
        </w:rPr>
        <w:t xml:space="preserve">4. ACCESS REVIEW SCHEDULE</w:t>
      </w:r>
    </w:p>
    <w:p>
      <w:pPr>
        <w:pBdr>
          <w:bottom w:val="single" w:color="0E6B6B"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System</w:t>
            </w:r>
          </w:p>
        </w:tc>
        <w:tc>
          <w:tcPr>
            <w:tcW w:type="dxa" w:w="20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Review Frequency</w:t>
            </w:r>
          </w:p>
        </w:tc>
        <w:tc>
          <w:tcPr>
            <w:tcW w:type="dxa" w:w="200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Last Review Date</w:t>
            </w:r>
          </w:p>
        </w:tc>
        <w:tc>
          <w:tcPr>
            <w:tcW w:type="dxa" w:w="2960"/>
            <w:tcBorders>
              <w:top w:val="single" w:color="0E6B6B" w:sz="6"/>
              <w:left w:val="single" w:color="0E6B6B" w:sz="6"/>
              <w:bottom w:val="single" w:color="0E6B6B" w:sz="6"/>
              <w:right w:val="single" w:color="0E6B6B" w:sz="6"/>
            </w:tcBorders>
            <w:shd w:fill="0E6B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Reviewer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Active Directory / Entra 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Quarterly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January 15, 2025</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Security Officer + IT Governance</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Core Banking System (T24)</w:t>
            </w:r>
          </w:p>
        </w:tc>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Quarterly</w:t>
            </w:r>
          </w:p>
        </w:tc>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January 20, 2025</w:t>
            </w:r>
          </w:p>
        </w:tc>
        <w:tc>
          <w:tcPr>
            <w:tcW w:type="dxa" w:w="29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DBA Lead + CISO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Azure DevOps (CI/CD)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Quarterly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January 22, 2025</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Release Manager + IT Governance</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SAP ERP</w:t>
            </w:r>
          </w:p>
        </w:tc>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Monthly (GRC auto)</w:t>
            </w:r>
          </w:p>
        </w:tc>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March 1, 2025</w:t>
            </w:r>
          </w:p>
        </w:tc>
        <w:tc>
          <w:tcPr>
            <w:tcW w:type="dxa" w:w="29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SAP GRC Auto + Finance Controller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SIEM / Sentinel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6B6B"/>
                <w:sz w:val="18"/>
                <w:szCs w:val="18"/>
              </w:rPr>
              <w:t xml:space="preserve">Semi-Annual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February 10, 2025</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Security Officer + IT Auditor</w:t>
            </w:r>
          </w:p>
        </w:tc>
      </w:tr>
    </w:tbl>
    <w:p>
      <w:pPr>
        <w:spacing w:after="200" w:before="0"/>
      </w:pPr>
      <w:r>
        <w:t xml:space="preserve"/>
      </w:r>
    </w:p>
    <w:p>
      <w:pPr>
        <w:spacing w:after="140" w:before="280"/>
      </w:pPr>
      <w:r>
        <w:rPr>
          <w:rFonts w:ascii="Arial" w:cs="Arial" w:eastAsia="Arial" w:hAnsi="Arial"/>
          <w:b/>
          <w:bCs/>
          <w:color w:val="0E6B6B"/>
          <w:sz w:val="24"/>
          <w:szCs w:val="24"/>
        </w:rPr>
        <w:t xml:space="preserve">5. APPROVAL</w:t>
      </w:r>
    </w:p>
    <w:p>
      <w:pPr>
        <w:pBdr>
          <w:bottom w:val="single" w:color="0E6B6B" w:sz="8" w:space="1"/>
        </w:pBdr>
        <w:spacing w:after="120" w:before="0"/>
      </w:pPr>
      <w:r>
        <w:t xml:space="preserve"/>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F0F0" w:sz="6"/>
              <w:left w:val="single" w:color="D0F0F0" w:sz="6"/>
              <w:bottom w:val="single" w:color="D0F0F0" w:sz="6"/>
              <w:right w:val="single" w:color="D0F0F0" w:sz="6"/>
            </w:tcBorders>
            <w:tcMar>
              <w:top w:type="dxa" w:w="160"/>
              <w:left w:type="dxa" w:w="180"/>
              <w:bottom w:type="dxa" w:w="200"/>
              <w:right w:type="dxa" w:w="180"/>
            </w:tcMar>
          </w:tcPr>
          <w:p>
            <w:r>
              <w:rPr>
                <w:rFonts w:ascii="Arial" w:cs="Arial" w:eastAsia="Arial" w:hAnsi="Arial"/>
                <w:b/>
                <w:bCs/>
                <w:color w:val="0E6B6B"/>
                <w:sz w:val="17"/>
                <w:szCs w:val="17"/>
              </w:rPr>
              <w:t xml:space="preserve">Chief Information Security Officer</w:t>
            </w:r>
          </w:p>
          <w:p>
            <w:pPr>
              <w:pBdr>
                <w:bottom w:val="single" w:color="999999" w:sz="4" w:space="1"/>
              </w:pBdr>
              <w:spacing w:after="80" w:before="460"/>
            </w:pPr>
            <w:r>
              <w:rPr>
                <w:rFonts w:ascii="Arial" w:cs="Arial" w:eastAsia="Arial" w:hAnsi="Arial"/>
                <w:color w:val="555555"/>
                <w:sz w:val="17"/>
                <w:szCs w:val="17"/>
              </w:rPr>
              <w:t xml:space="preserve">Mr. Imran Ali</w:t>
            </w:r>
          </w:p>
          <w:p>
            <w:r>
              <w:rPr>
                <w:rFonts w:ascii="Arial" w:cs="Arial" w:eastAsia="Arial" w:hAnsi="Arial"/>
                <w:color w:val="1A1A1A"/>
                <w:sz w:val="17"/>
                <w:szCs w:val="17"/>
              </w:rPr>
              <w:t xml:space="preserve">Date Signed: March 28, 2025</w:t>
            </w:r>
          </w:p>
        </w:tc>
        <w:tc>
          <w:tcPr>
            <w:tcW w:type="dxa" w:w="4680"/>
            <w:tcBorders>
              <w:top w:val="single" w:color="D0F0F0" w:sz="6"/>
              <w:left w:val="single" w:color="D0F0F0" w:sz="6"/>
              <w:bottom w:val="single" w:color="D0F0F0" w:sz="6"/>
              <w:right w:val="single" w:color="D0F0F0" w:sz="6"/>
            </w:tcBorders>
            <w:tcMar>
              <w:top w:type="dxa" w:w="160"/>
              <w:left w:type="dxa" w:w="180"/>
              <w:bottom w:type="dxa" w:w="200"/>
              <w:right w:type="dxa" w:w="180"/>
            </w:tcMar>
          </w:tcPr>
          <w:p>
            <w:r>
              <w:rPr>
                <w:rFonts w:ascii="Arial" w:cs="Arial" w:eastAsia="Arial" w:hAnsi="Arial"/>
                <w:b/>
                <w:bCs/>
                <w:color w:val="0E6B6B"/>
                <w:sz w:val="17"/>
                <w:szCs w:val="17"/>
              </w:rPr>
              <w:t xml:space="preserve">IT Governance Lead</w:t>
            </w:r>
          </w:p>
          <w:p>
            <w:pPr>
              <w:pBdr>
                <w:bottom w:val="single" w:color="999999" w:sz="4" w:space="1"/>
              </w:pBdr>
              <w:spacing w:after="80" w:before="460"/>
            </w:pPr>
            <w:r>
              <w:rPr>
                <w:rFonts w:ascii="Arial" w:cs="Arial" w:eastAsia="Arial" w:hAnsi="Arial"/>
                <w:color w:val="555555"/>
                <w:sz w:val="17"/>
                <w:szCs w:val="17"/>
              </w:rPr>
              <w:t xml:space="preserve">Mr. Waqas Siddiqui</w:t>
            </w:r>
          </w:p>
          <w:p>
            <w:r>
              <w:rPr>
                <w:rFonts w:ascii="Arial" w:cs="Arial" w:eastAsia="Arial" w:hAnsi="Arial"/>
                <w:color w:val="1A1A1A"/>
                <w:sz w:val="17"/>
                <w:szCs w:val="17"/>
              </w:rPr>
              <w:t xml:space="preserve">Date Signed: March 28, 2025</w:t>
            </w:r>
          </w:p>
        </w:tc>
      </w:tr>
    </w:tbl>
    <w:p>
      <w:pPr>
        <w:spacing w:after="280" w:before="0"/>
      </w:pPr>
      <w:r>
        <w:t xml:space="preserve"/>
      </w:r>
    </w:p>
    <w:p>
      <w:pPr>
        <w:pBdr>
          <w:left w:val="single" w:color="0E6B6B" w:sz="16" w:space="1"/>
        </w:pBdr>
        <w:shd w:fill="F4F6FA" w:val="clear"/>
        <w:spacing w:after="0" w:before="0"/>
        <w:ind w:left="240"/>
      </w:pPr>
      <w:r>
        <w:rPr>
          <w:rFonts w:ascii="Arial" w:cs="Arial" w:eastAsia="Arial" w:hAnsi="Arial"/>
          <w:color w:val="555555"/>
          <w:sz w:val="16"/>
          <w:szCs w:val="16"/>
        </w:rPr>
        <w:t xml:space="preserve">Official Use Only  |  Document Ref: CV-SOD-ACC-002  |  ComplyVerse GRC Platform  |  ISO/IEC 27001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2026-04-02T03:39:55.061Z</dcterms:created>
  <dcterms:modified xsi:type="dcterms:W3CDTF">2026-04-02T03:39:55.061Z</dcterms:modified>
</cp:coreProperties>
</file>

<file path=docProps/custom.xml><?xml version="1.0" encoding="utf-8"?>
<Properties xmlns="http://schemas.openxmlformats.org/officeDocument/2006/custom-properties" xmlns:vt="http://schemas.openxmlformats.org/officeDocument/2006/docPropsVTypes"/>
</file>