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r>
        <w:t xml:space="preserve"/>
      </w:r>
    </w:p>
    <w:p>
      <w:pPr>
        <w:jc w:val="center"/>
      </w:pPr>
      <w:r>
        <w:rPr>
          <w:rFonts w:ascii="Arial" w:cs="Arial" w:eastAsia="Arial" w:hAnsi="Arial"/>
          <w:b/>
          <w:bCs/>
          <w:color w:val="1F4E79"/>
          <w:sz w:val="52"/>
          <w:szCs w:val="52"/>
        </w:rPr>
        <w:t xml:space="preserve">[BANK NAME]</w:t>
      </w:r>
    </w:p>
    <w:p>
      <w:pPr>
        <w:spacing w:before="60" w:after="60"/>
      </w:pPr>
      <w:r>
        <w:t xml:space="preserve"/>
      </w:r>
    </w:p>
    <w:p>
      <w:pPr>
        <w:jc w:val="center"/>
      </w:pPr>
      <w:r>
        <w:rPr>
          <w:rFonts w:ascii="Arial" w:cs="Arial" w:eastAsia="Arial" w:hAnsi="Arial"/>
          <w:b/>
          <w:bCs/>
          <w:color w:val="2E75B6"/>
          <w:sz w:val="40"/>
          <w:szCs w:val="40"/>
        </w:rPr>
        <w:t xml:space="preserve">Information Security Management Framework</w:t>
      </w:r>
    </w:p>
    <w:p>
      <w:pPr>
        <w:spacing w:before="60" w:after="60"/>
      </w:pPr>
      <w:r>
        <w:t xml:space="preserve"/>
      </w:r>
    </w:p>
    <w:p>
      <w:pPr>
        <w:jc w:val="center"/>
      </w:pPr>
      <w:r>
        <w:rPr>
          <w:rFonts w:ascii="Arial" w:cs="Arial" w:eastAsia="Arial" w:hAnsi="Arial"/>
          <w:color w:val="404040"/>
          <w:sz w:val="26"/>
          <w:szCs w:val="26"/>
        </w:rPr>
        <w:t xml:space="preserve">Policy &amp; Framework Document</w:t>
      </w:r>
    </w:p>
    <w:p>
      <w:pPr>
        <w:spacing w:before="300" w:after="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Document No:</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IT-SEC-001</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Version:</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Effective Date: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[DD-MMM-YYYY]</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FF0000"/>
                <w:sz w:val="20"/>
                <w:szCs w:val="20"/>
              </w:rPr>
              <w:t xml:space="preserve">CONFIDENTIAL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Owner: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Chief Information Security Officer (CISO)</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Approved by:</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Board of Directors</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Regulatory Ref:</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SBP BPRD Circular No. 05/2017 — Chapter 2</w:t>
            </w:r>
          </w:p>
        </w:tc>
      </w:tr>
    </w:tbl>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60"/>
        <w:gridCol w:w="2300"/>
        <w:gridCol w:w="13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Initial release — SBP ETGRMF Chapter 2 compliance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[CIO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President / CEO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[CEO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Board IT Committee Chairman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[Director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Board of Directors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[Board Resolution 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[Date]</w:t>
            </w:r>
          </w:p>
        </w:tc>
      </w:tr>
    </w:tbl>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1. Purpose and Objectives</w:t>
      </w:r>
    </w:p>
    <w:p>
      <w:pPr>
        <w:spacing w:before="80" w:after="80"/>
        <w:jc w:val="both"/>
      </w:pPr>
      <w:r>
        <w:rPr>
          <w:rFonts w:ascii="Arial" w:cs="Arial" w:eastAsia="Arial" w:hAnsi="Arial"/>
          <w:color w:val="404040"/>
          <w:sz w:val="20"/>
          <w:szCs w:val="20"/>
        </w:rPr>
        <w:t xml:space="preserve">This Information Security Management Framework (hereinafter 'the Framework' or 'ISMF') establishes [Bank Name]'s comprehensive approach to protecting its information assets, technology infrastructure, and customer data from unauthorized access, misuse, disclosure, disruption, modification, or destruction.</w:t>
      </w:r>
    </w:p>
    <w:p>
      <w:pPr>
        <w:spacing w:before="60" w:after="60"/>
      </w:pPr>
      <w:r>
        <w:t xml:space="preserve"/>
      </w:r>
    </w:p>
    <w:p>
      <w:pPr>
        <w:spacing w:before="80" w:after="80"/>
        <w:jc w:val="both"/>
      </w:pPr>
      <w:r>
        <w:rPr>
          <w:rFonts w:ascii="Arial" w:cs="Arial" w:eastAsia="Arial" w:hAnsi="Arial"/>
          <w:color w:val="404040"/>
          <w:sz w:val="20"/>
          <w:szCs w:val="20"/>
        </w:rPr>
        <w:t xml:space="preserve">The Framework is developed in full compliance with Chapter 2 of the State Bank of Pakistan's Enterprise Technology Governance &amp; Risk Management Framework for Financial Institutions (BPRD Circular No. 05 dated May 30, 2017), and is aligned with international standards including ISO/IEC 27001:2022, NIST Cybersecurity Framework (CSF), and COBIT 2019.</w:t>
      </w:r>
    </w:p>
    <w:p>
      <w:pPr>
        <w:spacing w:before="80" w:after="80"/>
      </w:pPr>
      <w:r>
        <w:t xml:space="preserve"/>
      </w:r>
    </w:p>
    <w:p>
      <w:pPr>
        <w:spacing w:before="80" w:after="80"/>
        <w:jc w:val="both"/>
      </w:pPr>
      <w:r>
        <w:rPr>
          <w:rFonts w:ascii="Arial" w:cs="Arial" w:eastAsia="Arial" w:hAnsi="Arial"/>
          <w:color w:val="404040"/>
          <w:sz w:val="20"/>
          <w:szCs w:val="20"/>
        </w:rPr>
        <w:t xml:space="preserve">The objectives of this Framework are to:</w:t>
      </w:r>
    </w:p>
    <w:p>
      <w:pPr>
        <w:pStyle w:val="ListParagraph"/>
        <w:numPr>
          <w:ilvl w:val="0"/>
          <w:numId w:val="2"/>
        </w:numPr>
        <w:spacing w:before="60" w:after="60"/>
      </w:pPr>
      <w:r>
        <w:rPr>
          <w:rFonts w:ascii="Arial" w:cs="Arial" w:eastAsia="Arial" w:hAnsi="Arial"/>
          <w:color w:val="404040"/>
          <w:sz w:val="20"/>
          <w:szCs w:val="20"/>
        </w:rPr>
        <w:t xml:space="preserve">Ensure the confidentiality, integrity, availability, durability, and quality of all information and technology resources.</w:t>
      </w:r>
    </w:p>
    <w:p>
      <w:pPr>
        <w:pStyle w:val="ListParagraph"/>
        <w:numPr>
          <w:ilvl w:val="0"/>
          <w:numId w:val="2"/>
        </w:numPr>
        <w:spacing w:before="60" w:after="60"/>
      </w:pPr>
      <w:r>
        <w:rPr>
          <w:rFonts w:ascii="Arial" w:cs="Arial" w:eastAsia="Arial" w:hAnsi="Arial"/>
          <w:color w:val="404040"/>
          <w:sz w:val="20"/>
          <w:szCs w:val="20"/>
        </w:rPr>
        <w:t xml:space="preserve">Protect information assets from unauthorized access, deliberate misuse, fraudulent modification, insertion, deletion, substitution, suppression, or disclosure.</w:t>
      </w:r>
    </w:p>
    <w:p>
      <w:pPr>
        <w:pStyle w:val="ListParagraph"/>
        <w:numPr>
          <w:ilvl w:val="0"/>
          <w:numId w:val="2"/>
        </w:numPr>
        <w:spacing w:before="60" w:after="60"/>
      </w:pPr>
      <w:r>
        <w:rPr>
          <w:rFonts w:ascii="Arial" w:cs="Arial" w:eastAsia="Arial" w:hAnsi="Arial"/>
          <w:color w:val="404040"/>
          <w:sz w:val="20"/>
          <w:szCs w:val="20"/>
        </w:rPr>
        <w:t xml:space="preserve">Establish a systematic and consistent approach to identifying, assessing, and treating information security risks.</w:t>
      </w:r>
    </w:p>
    <w:p>
      <w:pPr>
        <w:pStyle w:val="ListParagraph"/>
        <w:numPr>
          <w:ilvl w:val="0"/>
          <w:numId w:val="2"/>
        </w:numPr>
        <w:spacing w:before="60" w:after="60"/>
      </w:pPr>
      <w:r>
        <w:rPr>
          <w:rFonts w:ascii="Arial" w:cs="Arial" w:eastAsia="Arial" w:hAnsi="Arial"/>
          <w:color w:val="404040"/>
          <w:sz w:val="20"/>
          <w:szCs w:val="20"/>
        </w:rPr>
        <w:t xml:space="preserve">Define and implement appropriate security controls commensurate with the sensitivity and risk profile of information assets.</w:t>
      </w:r>
    </w:p>
    <w:p>
      <w:pPr>
        <w:pStyle w:val="ListParagraph"/>
        <w:numPr>
          <w:ilvl w:val="0"/>
          <w:numId w:val="2"/>
        </w:numPr>
        <w:spacing w:before="60" w:after="60"/>
      </w:pPr>
      <w:r>
        <w:rPr>
          <w:rFonts w:ascii="Arial" w:cs="Arial" w:eastAsia="Arial" w:hAnsi="Arial"/>
          <w:color w:val="404040"/>
          <w:sz w:val="20"/>
          <w:szCs w:val="20"/>
        </w:rPr>
        <w:t xml:space="preserve">Formulate and execute a proactive Cyber Security Action Plan to anticipate, withstand, detect, and respond to cyber attacks.</w:t>
      </w:r>
    </w:p>
    <w:p>
      <w:pPr>
        <w:pStyle w:val="ListParagraph"/>
        <w:numPr>
          <w:ilvl w:val="0"/>
          <w:numId w:val="2"/>
        </w:numPr>
        <w:spacing w:before="60" w:after="60"/>
      </w:pPr>
      <w:r>
        <w:rPr>
          <w:rFonts w:ascii="Arial" w:cs="Arial" w:eastAsia="Arial" w:hAnsi="Arial"/>
          <w:color w:val="404040"/>
          <w:sz w:val="20"/>
          <w:szCs w:val="20"/>
        </w:rPr>
        <w:t xml:space="preserve">Establish clear incident reporting and escalation procedures including mandatory 48-hour reporting to SBP for significant breaches.</w:t>
      </w:r>
    </w:p>
    <w:p>
      <w:pPr>
        <w:pStyle w:val="ListParagraph"/>
        <w:numPr>
          <w:ilvl w:val="0"/>
          <w:numId w:val="2"/>
        </w:numPr>
        <w:spacing w:before="60" w:after="60"/>
      </w:pPr>
      <w:r>
        <w:rPr>
          <w:rFonts w:ascii="Arial" w:cs="Arial" w:eastAsia="Arial" w:hAnsi="Arial"/>
          <w:color w:val="404040"/>
          <w:sz w:val="20"/>
          <w:szCs w:val="20"/>
        </w:rPr>
        <w:t xml:space="preserve">Build a culture of information security awareness across the entire organization.</w:t>
      </w:r>
    </w:p>
    <w:p>
      <w:pPr>
        <w:pStyle w:val="ListParagraph"/>
        <w:numPr>
          <w:ilvl w:val="0"/>
          <w:numId w:val="2"/>
        </w:numPr>
        <w:spacing w:before="60" w:after="60"/>
      </w:pPr>
      <w:r>
        <w:rPr>
          <w:rFonts w:ascii="Arial" w:cs="Arial" w:eastAsia="Arial" w:hAnsi="Arial"/>
          <w:color w:val="404040"/>
          <w:sz w:val="20"/>
          <w:szCs w:val="20"/>
        </w:rPr>
        <w:t xml:space="preserve">Ensure regulatory compliance with all SBP directives relating to information and cyber security.</w:t>
      </w:r>
    </w:p>
    <w:p>
      <w:pPr>
        <w:spacing w:before="120" w:after="120"/>
      </w:pPr>
      <w:r>
        <w:t xml:space="preserve"/>
      </w:r>
    </w:p>
    <w:p>
      <w:pPr>
        <w:pStyle w:val="Heading1"/>
        <w:pBdr>
          <w:bottom w:val="single" w:color="2E75B6" w:sz="6" w:space="1"/>
        </w:pBdr>
        <w:spacing w:before="320" w:after="160"/>
      </w:pPr>
      <w:r>
        <w:rPr>
          <w:rFonts w:ascii="Arial" w:cs="Arial" w:eastAsia="Arial" w:hAnsi="Arial"/>
          <w:b/>
          <w:bCs/>
          <w:color w:val="1F4E79"/>
          <w:sz w:val="30"/>
          <w:szCs w:val="30"/>
        </w:rPr>
        <w:t xml:space="preserve">2. Scope and Applicability</w:t>
      </w:r>
    </w:p>
    <w:p>
      <w:pPr>
        <w:spacing w:before="80" w:after="80"/>
        <w:jc w:val="both"/>
      </w:pPr>
      <w:r>
        <w:rPr>
          <w:rFonts w:ascii="Arial" w:cs="Arial" w:eastAsia="Arial" w:hAnsi="Arial"/>
          <w:color w:val="404040"/>
          <w:sz w:val="20"/>
          <w:szCs w:val="20"/>
        </w:rPr>
        <w:t xml:space="preserve">This Framework applies to all information assets owned, managed, processed, stored, or transmitted by [Bank Name], including:</w:t>
      </w:r>
    </w:p>
    <w:p>
      <w:pPr>
        <w:pStyle w:val="ListParagraph"/>
        <w:numPr>
          <w:ilvl w:val="0"/>
          <w:numId w:val="2"/>
        </w:numPr>
        <w:spacing w:before="60" w:after="60"/>
      </w:pPr>
      <w:r>
        <w:rPr>
          <w:rFonts w:ascii="Arial" w:cs="Arial" w:eastAsia="Arial" w:hAnsi="Arial"/>
          <w:color w:val="404040"/>
          <w:sz w:val="20"/>
          <w:szCs w:val="20"/>
        </w:rPr>
        <w:t xml:space="preserve">All digital and physical information assets, regardless of format or location.</w:t>
      </w:r>
    </w:p>
    <w:p>
      <w:pPr>
        <w:pStyle w:val="ListParagraph"/>
        <w:numPr>
          <w:ilvl w:val="0"/>
          <w:numId w:val="2"/>
        </w:numPr>
        <w:spacing w:before="60" w:after="60"/>
      </w:pPr>
      <w:r>
        <w:rPr>
          <w:rFonts w:ascii="Arial" w:cs="Arial" w:eastAsia="Arial" w:hAnsi="Arial"/>
          <w:color w:val="404040"/>
          <w:sz w:val="20"/>
          <w:szCs w:val="20"/>
        </w:rPr>
        <w:t xml:space="preserve">All technology systems, applications, networks, databases, servers, and communication infrastructure.</w:t>
      </w:r>
    </w:p>
    <w:p>
      <w:pPr>
        <w:pStyle w:val="ListParagraph"/>
        <w:numPr>
          <w:ilvl w:val="0"/>
          <w:numId w:val="2"/>
        </w:numPr>
        <w:spacing w:before="60" w:after="60"/>
      </w:pPr>
      <w:r>
        <w:rPr>
          <w:rFonts w:ascii="Arial" w:cs="Arial" w:eastAsia="Arial" w:hAnsi="Arial"/>
          <w:color w:val="404040"/>
          <w:sz w:val="20"/>
          <w:szCs w:val="20"/>
        </w:rPr>
        <w:t xml:space="preserve">All employees, contractors, consultants, and third-party service providers with access to the Bank's information assets.</w:t>
      </w:r>
    </w:p>
    <w:p>
      <w:pPr>
        <w:pStyle w:val="ListParagraph"/>
        <w:numPr>
          <w:ilvl w:val="0"/>
          <w:numId w:val="2"/>
        </w:numPr>
        <w:spacing w:before="60" w:after="60"/>
      </w:pPr>
      <w:r>
        <w:rPr>
          <w:rFonts w:ascii="Arial" w:cs="Arial" w:eastAsia="Arial" w:hAnsi="Arial"/>
          <w:color w:val="404040"/>
          <w:sz w:val="20"/>
          <w:szCs w:val="20"/>
        </w:rPr>
        <w:t xml:space="preserve">All branches, offices, data centers, and remote working environments of the Bank.</w:t>
      </w:r>
    </w:p>
    <w:p>
      <w:pPr>
        <w:pStyle w:val="ListParagraph"/>
        <w:numPr>
          <w:ilvl w:val="0"/>
          <w:numId w:val="2"/>
        </w:numPr>
        <w:spacing w:before="60" w:after="60"/>
      </w:pPr>
      <w:r>
        <w:rPr>
          <w:rFonts w:ascii="Arial" w:cs="Arial" w:eastAsia="Arial" w:hAnsi="Arial"/>
          <w:color w:val="404040"/>
          <w:sz w:val="20"/>
          <w:szCs w:val="20"/>
        </w:rPr>
        <w:t xml:space="preserve">All third-party cloud service providers and technology outsourcing arrangements.</w:t>
      </w:r>
    </w:p>
    <w:p>
      <w:pPr>
        <w:spacing w:before="120" w:after="120"/>
      </w:pPr>
      <w:r>
        <w:t xml:space="preserve"/>
      </w:r>
    </w:p>
    <w:p>
      <w:pPr>
        <w:pStyle w:val="Heading1"/>
        <w:pBdr>
          <w:bottom w:val="single" w:color="2E75B6" w:sz="6" w:space="1"/>
        </w:pBdr>
        <w:spacing w:before="320" w:after="160"/>
      </w:pPr>
      <w:r>
        <w:rPr>
          <w:rFonts w:ascii="Arial" w:cs="Arial" w:eastAsia="Arial" w:hAnsi="Arial"/>
          <w:b/>
          <w:bCs/>
          <w:color w:val="1F4E79"/>
          <w:sz w:val="30"/>
          <w:szCs w:val="30"/>
        </w:rPr>
        <w:t xml:space="preserve">3. Information Security Governance</w:t>
      </w:r>
    </w:p>
    <w:p>
      <w:pPr>
        <w:pStyle w:val="Heading2"/>
        <w:spacing w:before="240" w:after="100"/>
      </w:pPr>
      <w:r>
        <w:rPr>
          <w:rFonts w:ascii="Arial" w:cs="Arial" w:eastAsia="Arial" w:hAnsi="Arial"/>
          <w:b/>
          <w:bCs/>
          <w:color w:val="2E75B6"/>
          <w:sz w:val="24"/>
          <w:szCs w:val="24"/>
        </w:rPr>
        <w:t xml:space="preserve">3.1 Governance Structure</w:t>
      </w:r>
    </w:p>
    <w:p>
      <w:pPr>
        <w:spacing w:before="80" w:after="80"/>
        <w:jc w:val="both"/>
      </w:pPr>
      <w:r>
        <w:rPr>
          <w:rFonts w:ascii="Arial" w:cs="Arial" w:eastAsia="Arial" w:hAnsi="Arial"/>
          <w:color w:val="404040"/>
          <w:sz w:val="20"/>
          <w:szCs w:val="20"/>
        </w:rPr>
        <w:t xml:space="preserve">The information security governance structure of [Bank Name] is as follows: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Governance Body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 Responsibility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Board of Directors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Approve ISMF, technology-related policies, major security investments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Receives annual IS report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Board IT Committee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Oversee cyber security posture; review Cyber Security Action Plan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Quarterly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Steering Committee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Monitor IS controls, incidents, vulnerability remediation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Own and manage the ISMF; lead IS risk management, incident response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 CEO and BITC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Ensure IS controls embedded in all IT operations and projects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 CEO and ITSC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Employees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Comply with IS policies; report security incidents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 Line Manager</w:t>
            </w:r>
          </w:p>
        </w:tc>
      </w:tr>
    </w:tbl>
    <w:p>
      <w:pPr>
        <w:spacing w:before="120" w:after="120"/>
      </w:pPr>
      <w:r>
        <w:t xml:space="preserve"/>
      </w:r>
    </w:p>
    <w:p>
      <w:pPr>
        <w:pStyle w:val="Heading2"/>
        <w:spacing w:before="240" w:after="100"/>
      </w:pPr>
      <w:r>
        <w:rPr>
          <w:rFonts w:ascii="Arial" w:cs="Arial" w:eastAsia="Arial" w:hAnsi="Arial"/>
          <w:b/>
          <w:bCs/>
          <w:color w:val="2E75B6"/>
          <w:sz w:val="24"/>
          <w:szCs w:val="24"/>
        </w:rPr>
        <w:t xml:space="preserve">3.2 CISO Independence</w:t>
      </w:r>
    </w:p>
    <w:p>
      <w:pPr>
        <w:spacing w:before="80" w:after="80"/>
        <w:jc w:val="both"/>
      </w:pPr>
      <w:r>
        <w:rPr>
          <w:rFonts w:ascii="Arial" w:cs="Arial" w:eastAsia="Arial" w:hAnsi="Arial"/>
          <w:color w:val="404040"/>
          <w:sz w:val="20"/>
          <w:szCs w:val="20"/>
        </w:rPr>
        <w:t xml:space="preserve">In accordance with SBP ETGRMF Section 1.5.3(c), the CISO shall be independent of the technology operations function. The CISO reports directly to the President/CEO and has a direct reporting line to the Board IT Committee, bypassing the CIO where necessary to avoid conflicts of interest.</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4. Identification and Prioritization of Information System Assets</w:t>
      </w:r>
    </w:p>
    <w:p>
      <w:pPr>
        <w:pStyle w:val="Heading2"/>
        <w:spacing w:before="240" w:after="100"/>
      </w:pPr>
      <w:r>
        <w:rPr>
          <w:rFonts w:ascii="Arial" w:cs="Arial" w:eastAsia="Arial" w:hAnsi="Arial"/>
          <w:b/>
          <w:bCs/>
          <w:color w:val="2E75B6"/>
          <w:sz w:val="24"/>
          <w:szCs w:val="24"/>
        </w:rPr>
        <w:t xml:space="preserve">4.1 Asset Inventory</w:t>
      </w:r>
    </w:p>
    <w:p>
      <w:pPr>
        <w:spacing w:before="80" w:after="80"/>
        <w:jc w:val="both"/>
      </w:pPr>
      <w:r>
        <w:rPr>
          <w:rFonts w:ascii="Arial" w:cs="Arial" w:eastAsia="Arial" w:hAnsi="Arial"/>
          <w:color w:val="404040"/>
          <w:sz w:val="20"/>
          <w:szCs w:val="20"/>
        </w:rPr>
        <w:t xml:space="preserve">The Bank shall maintain a comprehensive and up-to-date inventory of all information system assets. The inventory shall be maintained in the Information Asset Register (IT-SEC-REG-001) and shall include, at a minimum:</w:t>
      </w:r>
    </w:p>
    <w:p>
      <w:pPr>
        <w:pStyle w:val="ListParagraph"/>
        <w:numPr>
          <w:ilvl w:val="0"/>
          <w:numId w:val="2"/>
        </w:numPr>
        <w:spacing w:before="60" w:after="60"/>
      </w:pPr>
      <w:r>
        <w:rPr>
          <w:rFonts w:ascii="Arial" w:cs="Arial" w:eastAsia="Arial" w:hAnsi="Arial"/>
          <w:color w:val="404040"/>
          <w:sz w:val="20"/>
          <w:szCs w:val="20"/>
        </w:rPr>
        <w:t xml:space="preserve">Hardware assets: servers, workstations, laptops, mobile devices, networking equipment, storage systems, ATMs, POS terminals.</w:t>
      </w:r>
    </w:p>
    <w:p>
      <w:pPr>
        <w:pStyle w:val="ListParagraph"/>
        <w:numPr>
          <w:ilvl w:val="0"/>
          <w:numId w:val="2"/>
        </w:numPr>
        <w:spacing w:before="60" w:after="60"/>
      </w:pPr>
      <w:r>
        <w:rPr>
          <w:rFonts w:ascii="Arial" w:cs="Arial" w:eastAsia="Arial" w:hAnsi="Arial"/>
          <w:color w:val="404040"/>
          <w:sz w:val="20"/>
          <w:szCs w:val="20"/>
        </w:rPr>
        <w:t xml:space="preserve">Software assets: operating systems, applications, databases, middleware, utilities, development tools.</w:t>
      </w:r>
    </w:p>
    <w:p>
      <w:pPr>
        <w:pStyle w:val="ListParagraph"/>
        <w:numPr>
          <w:ilvl w:val="0"/>
          <w:numId w:val="2"/>
        </w:numPr>
        <w:spacing w:before="60" w:after="60"/>
      </w:pPr>
      <w:r>
        <w:rPr>
          <w:rFonts w:ascii="Arial" w:cs="Arial" w:eastAsia="Arial" w:hAnsi="Arial"/>
          <w:color w:val="404040"/>
          <w:sz w:val="20"/>
          <w:szCs w:val="20"/>
        </w:rPr>
        <w:t xml:space="preserve">Information assets: customer data, financial records, transaction data, authentication credentials, cryptographic keys.</w:t>
      </w:r>
    </w:p>
    <w:p>
      <w:pPr>
        <w:pStyle w:val="ListParagraph"/>
        <w:numPr>
          <w:ilvl w:val="0"/>
          <w:numId w:val="2"/>
        </w:numPr>
        <w:spacing w:before="60" w:after="60"/>
      </w:pPr>
      <w:r>
        <w:rPr>
          <w:rFonts w:ascii="Arial" w:cs="Arial" w:eastAsia="Arial" w:hAnsi="Arial"/>
          <w:color w:val="404040"/>
          <w:sz w:val="20"/>
          <w:szCs w:val="20"/>
        </w:rPr>
        <w:t xml:space="preserve">Communication assets: network infrastructure, internet connectivity, telephony systems, API interfaces.</w:t>
      </w:r>
    </w:p>
    <w:p>
      <w:pPr>
        <w:pStyle w:val="ListParagraph"/>
        <w:numPr>
          <w:ilvl w:val="0"/>
          <w:numId w:val="2"/>
        </w:numPr>
        <w:spacing w:before="60" w:after="60"/>
      </w:pPr>
      <w:r>
        <w:rPr>
          <w:rFonts w:ascii="Arial" w:cs="Arial" w:eastAsia="Arial" w:hAnsi="Arial"/>
          <w:color w:val="404040"/>
          <w:sz w:val="20"/>
          <w:szCs w:val="20"/>
        </w:rPr>
        <w:t xml:space="preserve">Service assets: cloud services, outsourced processing functions, third-party integrations.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4.2 Asset Classification</w:t>
      </w:r>
    </w:p>
    <w:p>
      <w:pPr>
        <w:spacing w:before="80" w:after="80"/>
        <w:jc w:val="both"/>
      </w:pPr>
      <w:r>
        <w:rPr>
          <w:rFonts w:ascii="Arial" w:cs="Arial" w:eastAsia="Arial" w:hAnsi="Arial"/>
          <w:color w:val="404040"/>
          <w:sz w:val="20"/>
          <w:szCs w:val="20"/>
        </w:rPr>
        <w:t xml:space="preserve">All information assets shall be classified according to the following scheme: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2500"/>
        <w:gridCol w:w="30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Class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TOP SECRET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Highest sensitivity; breach would cause severe harm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Cryptographic keys, authentication master seeds, SWIFT credentials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Class 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CONFIDENTIAL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High sensitivity; breach would cause significant harm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Customer financial data, core banking configs, employee PII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Class 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RESTRICTED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Moderate sensitivity; limited to need-to-know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 policies, audit reports, system architecture docs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Class 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Low sensitivity; internal use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General memos, training materials, public-facing procedures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Class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PUBLIC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restriction; approved for public disclosure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Marketing materials, published annual reports, SBP-required disclosures</w:t>
            </w:r>
          </w:p>
        </w:tc>
      </w:tr>
    </w:tbl>
    <w:p>
      <w:pPr>
        <w:spacing w:before="80" w:after="80"/>
      </w:pPr>
      <w:r>
        <w:t xml:space="preserve"/>
      </w:r>
    </w:p>
    <w:p>
      <w:pPr>
        <w:spacing w:before="80" w:after="80"/>
        <w:jc w:val="both"/>
      </w:pPr>
      <w:r>
        <w:rPr>
          <w:rFonts w:ascii="Arial" w:cs="Arial" w:eastAsia="Arial" w:hAnsi="Arial"/>
          <w:color w:val="404040"/>
          <w:sz w:val="20"/>
          <w:szCs w:val="20"/>
        </w:rPr>
        <w:t xml:space="preserve">Information owners shall be designated for each information asset and shall be responsible for ensuring the appropriate classification, protection, and access controls are applied. Asset classification shall be reviewed at least annually or upon material changes.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4.3 Information Asset Protection</w:t>
      </w:r>
    </w:p>
    <w:p>
      <w:pPr>
        <w:spacing w:before="80" w:after="80"/>
        <w:jc w:val="both"/>
      </w:pPr>
      <w:r>
        <w:rPr>
          <w:rFonts w:ascii="Arial" w:cs="Arial" w:eastAsia="Arial" w:hAnsi="Arial"/>
          <w:color w:val="404040"/>
          <w:sz w:val="20"/>
          <w:szCs w:val="20"/>
        </w:rPr>
        <w:t xml:space="preserve">All information assets shall be adequately protected from unauthorized access, misuse, or fraudulent modification. Protection measures shall be:</w:t>
      </w:r>
    </w:p>
    <w:p>
      <w:pPr>
        <w:pStyle w:val="ListParagraph"/>
        <w:numPr>
          <w:ilvl w:val="0"/>
          <w:numId w:val="2"/>
        </w:numPr>
        <w:spacing w:before="60" w:after="60"/>
      </w:pPr>
      <w:r>
        <w:rPr>
          <w:rFonts w:ascii="Arial" w:cs="Arial" w:eastAsia="Arial" w:hAnsi="Arial"/>
          <w:color w:val="404040"/>
          <w:sz w:val="20"/>
          <w:szCs w:val="20"/>
        </w:rPr>
        <w:t xml:space="preserve">Commensurate with the classification level and risk profile of the asset.</w:t>
      </w:r>
    </w:p>
    <w:p>
      <w:pPr>
        <w:pStyle w:val="ListParagraph"/>
        <w:numPr>
          <w:ilvl w:val="0"/>
          <w:numId w:val="2"/>
        </w:numPr>
        <w:spacing w:before="60" w:after="60"/>
      </w:pPr>
      <w:r>
        <w:rPr>
          <w:rFonts w:ascii="Arial" w:cs="Arial" w:eastAsia="Arial" w:hAnsi="Arial"/>
          <w:color w:val="404040"/>
          <w:sz w:val="20"/>
          <w:szCs w:val="20"/>
        </w:rPr>
        <w:t xml:space="preserve">Documented in the Information Asset Register including designated owner, classification, applicable controls.</w:t>
      </w:r>
    </w:p>
    <w:p>
      <w:pPr>
        <w:pStyle w:val="ListParagraph"/>
        <w:numPr>
          <w:ilvl w:val="0"/>
          <w:numId w:val="2"/>
        </w:numPr>
        <w:spacing w:before="60" w:after="60"/>
      </w:pPr>
      <w:r>
        <w:rPr>
          <w:rFonts w:ascii="Arial" w:cs="Arial" w:eastAsia="Arial" w:hAnsi="Arial"/>
          <w:color w:val="404040"/>
          <w:sz w:val="20"/>
          <w:szCs w:val="20"/>
        </w:rPr>
        <w:t xml:space="preserve">Subject to periodic review to ensure continued adequacy of controls.</w:t>
      </w:r>
    </w:p>
    <w:p>
      <w:pPr>
        <w:pStyle w:val="ListParagraph"/>
        <w:numPr>
          <w:ilvl w:val="0"/>
          <w:numId w:val="2"/>
        </w:numPr>
        <w:spacing w:before="60" w:after="60"/>
      </w:pPr>
      <w:r>
        <w:rPr>
          <w:rFonts w:ascii="Arial" w:cs="Arial" w:eastAsia="Arial" w:hAnsi="Arial"/>
          <w:color w:val="404040"/>
          <w:sz w:val="20"/>
          <w:szCs w:val="20"/>
        </w:rPr>
        <w:t xml:space="preserve">Inclusive of secure disposal and destruction procedures for both paper and electronic media.</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5. Information Security Risk Management</w:t>
      </w:r>
    </w:p>
    <w:p>
      <w:pPr>
        <w:pStyle w:val="Heading2"/>
        <w:spacing w:before="240" w:after="100"/>
      </w:pPr>
      <w:r>
        <w:rPr>
          <w:rFonts w:ascii="Arial" w:cs="Arial" w:eastAsia="Arial" w:hAnsi="Arial"/>
          <w:b/>
          <w:bCs/>
          <w:color w:val="2E75B6"/>
          <w:sz w:val="24"/>
          <w:szCs w:val="24"/>
        </w:rPr>
        <w:t xml:space="preserve">5.1 Risk Identification</w:t>
      </w:r>
    </w:p>
    <w:p>
      <w:pPr>
        <w:spacing w:before="80" w:after="80"/>
        <w:jc w:val="both"/>
      </w:pPr>
      <w:r>
        <w:rPr>
          <w:rFonts w:ascii="Arial" w:cs="Arial" w:eastAsia="Arial" w:hAnsi="Arial"/>
          <w:color w:val="404040"/>
          <w:sz w:val="20"/>
          <w:szCs w:val="20"/>
        </w:rPr>
        <w:t xml:space="preserve">The Bank shall conduct a risk-based vulnerabilities identification exercise at least annually across all critical information systems and supporting infrastructure. The exercise shall:</w:t>
      </w:r>
    </w:p>
    <w:p>
      <w:pPr>
        <w:pStyle w:val="ListParagraph"/>
        <w:numPr>
          <w:ilvl w:val="0"/>
          <w:numId w:val="2"/>
        </w:numPr>
        <w:spacing w:before="60" w:after="60"/>
      </w:pPr>
      <w:r>
        <w:rPr>
          <w:rFonts w:ascii="Arial" w:cs="Arial" w:eastAsia="Arial" w:hAnsi="Arial"/>
          <w:color w:val="404040"/>
          <w:sz w:val="20"/>
          <w:szCs w:val="20"/>
        </w:rPr>
        <w:t xml:space="preserve">Cover all systems identified in the Information Asset Register.</w:t>
      </w:r>
    </w:p>
    <w:p>
      <w:pPr>
        <w:pStyle w:val="ListParagraph"/>
        <w:numPr>
          <w:ilvl w:val="0"/>
          <w:numId w:val="2"/>
        </w:numPr>
        <w:spacing w:before="60" w:after="60"/>
      </w:pPr>
      <w:r>
        <w:rPr>
          <w:rFonts w:ascii="Arial" w:cs="Arial" w:eastAsia="Arial" w:hAnsi="Arial"/>
          <w:color w:val="404040"/>
          <w:sz w:val="20"/>
          <w:szCs w:val="20"/>
        </w:rPr>
        <w:t xml:space="preserve">Identify known and emerging threats relevant to the Bank's operating environment.</w:t>
      </w:r>
    </w:p>
    <w:p>
      <w:pPr>
        <w:pStyle w:val="ListParagraph"/>
        <w:numPr>
          <w:ilvl w:val="0"/>
          <w:numId w:val="2"/>
        </w:numPr>
        <w:spacing w:before="60" w:after="60"/>
      </w:pPr>
      <w:r>
        <w:rPr>
          <w:rFonts w:ascii="Arial" w:cs="Arial" w:eastAsia="Arial" w:hAnsi="Arial"/>
          <w:color w:val="404040"/>
          <w:sz w:val="20"/>
          <w:szCs w:val="20"/>
        </w:rPr>
        <w:t xml:space="preserve">Assess vulnerabilities through technical scanning, manual review, and threat intelligence.</w:t>
      </w:r>
    </w:p>
    <w:p>
      <w:pPr>
        <w:pStyle w:val="ListParagraph"/>
        <w:numPr>
          <w:ilvl w:val="0"/>
          <w:numId w:val="2"/>
        </w:numPr>
        <w:spacing w:before="60" w:after="60"/>
      </w:pPr>
      <w:r>
        <w:rPr>
          <w:rFonts w:ascii="Arial" w:cs="Arial" w:eastAsia="Arial" w:hAnsi="Arial"/>
          <w:color w:val="404040"/>
          <w:sz w:val="20"/>
          <w:szCs w:val="20"/>
        </w:rPr>
        <w:t xml:space="preserve">Produce a documented list of all risks that could cause severe harm or disruption to the Bank's operations.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5.2 Risk Assessment</w:t>
      </w:r>
    </w:p>
    <w:p>
      <w:pPr>
        <w:spacing w:before="80" w:after="80"/>
        <w:jc w:val="both"/>
      </w:pPr>
      <w:r>
        <w:rPr>
          <w:rFonts w:ascii="Arial" w:cs="Arial" w:eastAsia="Arial" w:hAnsi="Arial"/>
          <w:color w:val="404040"/>
          <w:sz w:val="20"/>
          <w:szCs w:val="20"/>
        </w:rPr>
        <w:t xml:space="preserve">Following risk identification, a formal risk assessment shall be conducted to:</w:t>
      </w:r>
    </w:p>
    <w:p>
      <w:pPr>
        <w:pStyle w:val="ListParagraph"/>
        <w:numPr>
          <w:ilvl w:val="0"/>
          <w:numId w:val="2"/>
        </w:numPr>
        <w:spacing w:before="60" w:after="60"/>
      </w:pPr>
      <w:r>
        <w:rPr>
          <w:rFonts w:ascii="Arial" w:cs="Arial" w:eastAsia="Arial" w:hAnsi="Arial"/>
          <w:color w:val="404040"/>
          <w:sz w:val="20"/>
          <w:szCs w:val="20"/>
        </w:rPr>
        <w:t xml:space="preserve">Analyze and quantify the potential impact and consequences of each identified risk.</w:t>
      </w:r>
    </w:p>
    <w:p>
      <w:pPr>
        <w:pStyle w:val="ListParagraph"/>
        <w:numPr>
          <w:ilvl w:val="0"/>
          <w:numId w:val="2"/>
        </w:numPr>
        <w:spacing w:before="60" w:after="60"/>
      </w:pPr>
      <w:r>
        <w:rPr>
          <w:rFonts w:ascii="Arial" w:cs="Arial" w:eastAsia="Arial" w:hAnsi="Arial"/>
          <w:color w:val="404040"/>
          <w:sz w:val="20"/>
          <w:szCs w:val="20"/>
        </w:rPr>
        <w:t xml:space="preserve">Assess the likelihood of each risk materializing, taking into account existing controls.</w:t>
      </w:r>
    </w:p>
    <w:p>
      <w:pPr>
        <w:pStyle w:val="ListParagraph"/>
        <w:numPr>
          <w:ilvl w:val="0"/>
          <w:numId w:val="2"/>
        </w:numPr>
        <w:spacing w:before="60" w:after="60"/>
      </w:pPr>
      <w:r>
        <w:rPr>
          <w:rFonts w:ascii="Arial" w:cs="Arial" w:eastAsia="Arial" w:hAnsi="Arial"/>
          <w:color w:val="404040"/>
          <w:sz w:val="20"/>
          <w:szCs w:val="20"/>
        </w:rPr>
        <w:t xml:space="preserve">Compute a risk score using the formula: Risk Score = Likelihood (1–5) × Impact (1–5).</w:t>
      </w:r>
    </w:p>
    <w:p>
      <w:pPr>
        <w:pStyle w:val="ListParagraph"/>
        <w:numPr>
          <w:ilvl w:val="0"/>
          <w:numId w:val="2"/>
        </w:numPr>
        <w:spacing w:before="60" w:after="60"/>
      </w:pPr>
      <w:r>
        <w:rPr>
          <w:rFonts w:ascii="Arial" w:cs="Arial" w:eastAsia="Arial" w:hAnsi="Arial"/>
          <w:color w:val="404040"/>
          <w:sz w:val="20"/>
          <w:szCs w:val="20"/>
        </w:rPr>
        <w:t xml:space="preserve">Assign a risk rating: Low (1–6), Medium (7–12), High (13–19), Critical (20–25).</w:t>
      </w:r>
    </w:p>
    <w:p>
      <w:pPr>
        <w:pStyle w:val="ListParagraph"/>
        <w:numPr>
          <w:ilvl w:val="0"/>
          <w:numId w:val="2"/>
        </w:numPr>
        <w:spacing w:before="60" w:after="60"/>
      </w:pPr>
      <w:r>
        <w:rPr>
          <w:rFonts w:ascii="Arial" w:cs="Arial" w:eastAsia="Arial" w:hAnsi="Arial"/>
          <w:color w:val="404040"/>
          <w:sz w:val="20"/>
          <w:szCs w:val="20"/>
        </w:rPr>
        <w:t xml:space="preserve">Prioritize all material information security risks for treatment.</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5.3 Risk Treatment</w:t>
      </w:r>
    </w:p>
    <w:p>
      <w:pPr>
        <w:spacing w:before="80" w:after="80"/>
        <w:jc w:val="both"/>
      </w:pPr>
      <w:r>
        <w:rPr>
          <w:rFonts w:ascii="Arial" w:cs="Arial" w:eastAsia="Arial" w:hAnsi="Arial"/>
          <w:color w:val="404040"/>
          <w:sz w:val="20"/>
          <w:szCs w:val="20"/>
        </w:rPr>
        <w:t xml:space="preserve">For each identified risk, the Bank shall select and implement appropriate treatment strategies: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Mitigate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Implement controls to reduce likelihood or impact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Apply for High/Critical risks where cost-effective controls exist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Accept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Accept residual risk within risk appetite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Apply for Low/Medium risks within approved risk tolerance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Transfer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Transfer risk through insurance or contractual arrangements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Apply for insurable risks or third-party-caused risks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Avoid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Cease the activity giving rise to the risk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Apply when risk cannot be adequately controlled</w:t>
            </w:r>
          </w:p>
        </w:tc>
      </w:tr>
    </w:tbl>
    <w:p>
      <w:pPr>
        <w:spacing w:before="80" w:after="80"/>
      </w:pPr>
      <w:r>
        <w:t xml:space="preserve"/>
      </w:r>
    </w:p>
    <w:p>
      <w:pPr>
        <w:spacing w:before="80" w:after="80"/>
        <w:jc w:val="both"/>
      </w:pPr>
      <w:r>
        <w:rPr>
          <w:rFonts w:ascii="Arial" w:cs="Arial" w:eastAsia="Arial" w:hAnsi="Arial"/>
          <w:color w:val="404040"/>
          <w:sz w:val="20"/>
          <w:szCs w:val="20"/>
        </w:rPr>
        <w:t xml:space="preserve">The Bank shall give priority to high-risk/critical-risk threat-vulnerability pairings. For risks that cannot be adequately controlled, the Bank shall refrain from implementing and running the relevant system as required under SBP ETGRMF Section 2.3.3(d).</w:t>
      </w:r>
    </w:p>
    <w:p>
      <w:pPr>
        <w:spacing w:before="60" w:after="60"/>
      </w:pPr>
      <w:r>
        <w:t xml:space="preserve"/>
      </w:r>
    </w:p>
    <w:p>
      <w:pPr>
        <w:spacing w:before="80" w:after="80"/>
        <w:jc w:val="both"/>
      </w:pPr>
      <w:r>
        <w:rPr>
          <w:rFonts w:ascii="Arial" w:cs="Arial" w:eastAsia="Arial" w:hAnsi="Arial"/>
          <w:color w:val="404040"/>
          <w:sz w:val="20"/>
          <w:szCs w:val="20"/>
        </w:rPr>
        <w:t xml:space="preserve">As a risk mitigating measure, the Bank shall consider obtaining appropriate insurance coverage for insurable technology-related risks, including recovery and restoration costs, as permitted under SBP ETGRMF Section 2.3.3(e).</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6. Security Controls Implementation</w:t>
      </w:r>
    </w:p>
    <w:p>
      <w:pPr>
        <w:pStyle w:val="Heading2"/>
        <w:spacing w:before="240" w:after="100"/>
      </w:pPr>
      <w:r>
        <w:rPr>
          <w:rFonts w:ascii="Arial" w:cs="Arial" w:eastAsia="Arial" w:hAnsi="Arial"/>
          <w:b/>
          <w:bCs/>
          <w:color w:val="2E75B6"/>
          <w:sz w:val="24"/>
          <w:szCs w:val="24"/>
        </w:rPr>
        <w:t xml:space="preserve">6.1 Asset Classification and Control</w:t>
      </w:r>
    </w:p>
    <w:p>
      <w:pPr>
        <w:spacing w:before="80" w:after="80"/>
        <w:jc w:val="both"/>
      </w:pPr>
      <w:r>
        <w:rPr>
          <w:rFonts w:ascii="Arial" w:cs="Arial" w:eastAsia="Arial" w:hAnsi="Arial"/>
          <w:color w:val="404040"/>
          <w:sz w:val="20"/>
          <w:szCs w:val="20"/>
        </w:rPr>
        <w:t xml:space="preserve">As described in Section 4, all information assets shall be classified and protected according to their sensitivity and criticality. Controls shall be commensurate with classification levels and shall include physical, logical, administrative, and technical measures.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6.2 Physical and Environmental Protection</w:t>
      </w:r>
    </w:p>
    <w:p>
      <w:pPr>
        <w:spacing w:before="80" w:after="80"/>
        <w:jc w:val="both"/>
      </w:pPr>
      <w:r>
        <w:rPr>
          <w:rFonts w:ascii="Arial" w:cs="Arial" w:eastAsia="Arial" w:hAnsi="Arial"/>
          <w:color w:val="404040"/>
          <w:sz w:val="20"/>
          <w:szCs w:val="20"/>
        </w:rPr>
        <w:t xml:space="preserve">Physical security measures shall protect all IT facilities and equipment. Requirements include:</w:t>
      </w:r>
    </w:p>
    <w:p>
      <w:pPr>
        <w:pStyle w:val="ListParagraph"/>
        <w:numPr>
          <w:ilvl w:val="0"/>
          <w:numId w:val="2"/>
        </w:numPr>
        <w:spacing w:before="60" w:after="60"/>
      </w:pPr>
      <w:r>
        <w:rPr>
          <w:rFonts w:ascii="Arial" w:cs="Arial" w:eastAsia="Arial" w:hAnsi="Arial"/>
          <w:color w:val="404040"/>
          <w:sz w:val="20"/>
          <w:szCs w:val="20"/>
        </w:rPr>
        <w:t xml:space="preserve">Critical information processing facilities shall be housed in secure data centers with appropriate security barriers, access controls, HVAC systems, and environmental monitoring.</w:t>
      </w:r>
    </w:p>
    <w:p>
      <w:pPr>
        <w:pStyle w:val="ListParagraph"/>
        <w:numPr>
          <w:ilvl w:val="0"/>
          <w:numId w:val="2"/>
        </w:numPr>
        <w:spacing w:before="60" w:after="60"/>
      </w:pPr>
      <w:r>
        <w:rPr>
          <w:rFonts w:ascii="Arial" w:cs="Arial" w:eastAsia="Arial" w:hAnsi="Arial"/>
          <w:color w:val="404040"/>
          <w:sz w:val="20"/>
          <w:szCs w:val="20"/>
        </w:rPr>
        <w:t xml:space="preserve">Access to data centers and server rooms shall be restricted to authorized personnel only, managed through multi-factor physical access controls (biometric + card).</w:t>
      </w:r>
    </w:p>
    <w:p>
      <w:pPr>
        <w:pStyle w:val="ListParagraph"/>
        <w:numPr>
          <w:ilvl w:val="0"/>
          <w:numId w:val="2"/>
        </w:numPr>
        <w:spacing w:before="60" w:after="60"/>
      </w:pPr>
      <w:r>
        <w:rPr>
          <w:rFonts w:ascii="Arial" w:cs="Arial" w:eastAsia="Arial" w:hAnsi="Arial"/>
          <w:color w:val="404040"/>
          <w:sz w:val="20"/>
          <w:szCs w:val="20"/>
        </w:rPr>
        <w:t xml:space="preserve">Access rights to physical facilities shall be reviewed and updated at least quarterly.</w:t>
      </w:r>
    </w:p>
    <w:p>
      <w:pPr>
        <w:pStyle w:val="ListParagraph"/>
        <w:numPr>
          <w:ilvl w:val="0"/>
          <w:numId w:val="2"/>
        </w:numPr>
        <w:spacing w:before="60" w:after="60"/>
      </w:pPr>
      <w:r>
        <w:rPr>
          <w:rFonts w:ascii="Arial" w:cs="Arial" w:eastAsia="Arial" w:hAnsi="Arial"/>
          <w:color w:val="404040"/>
          <w:sz w:val="20"/>
          <w:szCs w:val="20"/>
        </w:rPr>
        <w:t xml:space="preserve">Environmental threats shall be assessed when selecting data center locations, including flood risk, seismic activity, and proximity to hazards.</w:t>
      </w:r>
    </w:p>
    <w:p>
      <w:pPr>
        <w:pStyle w:val="ListParagraph"/>
        <w:numPr>
          <w:ilvl w:val="0"/>
          <w:numId w:val="2"/>
        </w:numPr>
        <w:spacing w:before="60" w:after="60"/>
      </w:pPr>
      <w:r>
        <w:rPr>
          <w:rFonts w:ascii="Arial" w:cs="Arial" w:eastAsia="Arial" w:hAnsi="Arial"/>
          <w:color w:val="404040"/>
          <w:sz w:val="20"/>
          <w:szCs w:val="20"/>
        </w:rPr>
        <w:t xml:space="preserve">Adequate UPS and power conditioning shall protect all critical equipment from power failures and electrical supply fluctuations.</w:t>
      </w:r>
    </w:p>
    <w:p>
      <w:pPr>
        <w:pStyle w:val="ListParagraph"/>
        <w:numPr>
          <w:ilvl w:val="0"/>
          <w:numId w:val="2"/>
        </w:numPr>
        <w:spacing w:before="60" w:after="60"/>
      </w:pPr>
      <w:r>
        <w:rPr>
          <w:rFonts w:ascii="Arial" w:cs="Arial" w:eastAsia="Arial" w:hAnsi="Arial"/>
          <w:color w:val="404040"/>
          <w:sz w:val="20"/>
          <w:szCs w:val="20"/>
        </w:rPr>
        <w:t xml:space="preserve">Physical security controls shall include CCTV monitoring, visitor logs, and clean desk policies.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6.3 Security Administration and Monitoring</w:t>
      </w:r>
    </w:p>
    <w:p>
      <w:pPr>
        <w:spacing w:before="80" w:after="80"/>
        <w:jc w:val="both"/>
      </w:pPr>
      <w:r>
        <w:rPr>
          <w:rFonts w:ascii="Arial" w:cs="Arial" w:eastAsia="Arial" w:hAnsi="Arial"/>
          <w:color w:val="404040"/>
          <w:sz w:val="20"/>
          <w:szCs w:val="20"/>
        </w:rPr>
        <w:t xml:space="preserve">The Bank shall maintain a dedicated security administration function responsible for:</w:t>
      </w:r>
    </w:p>
    <w:p>
      <w:pPr>
        <w:pStyle w:val="ListParagraph"/>
        <w:numPr>
          <w:ilvl w:val="0"/>
          <w:numId w:val="2"/>
        </w:numPr>
        <w:spacing w:before="60" w:after="60"/>
      </w:pPr>
      <w:r>
        <w:rPr>
          <w:rFonts w:ascii="Arial" w:cs="Arial" w:eastAsia="Arial" w:hAnsi="Arial"/>
          <w:color w:val="404040"/>
          <w:sz w:val="20"/>
          <w:szCs w:val="20"/>
        </w:rPr>
        <w:t xml:space="preserve">Administering user access rights to all systems, applications, and data assets.</w:t>
      </w:r>
    </w:p>
    <w:p>
      <w:pPr>
        <w:pStyle w:val="ListParagraph"/>
        <w:numPr>
          <w:ilvl w:val="0"/>
          <w:numId w:val="2"/>
        </w:numPr>
        <w:spacing w:before="60" w:after="60"/>
      </w:pPr>
      <w:r>
        <w:rPr>
          <w:rFonts w:ascii="Arial" w:cs="Arial" w:eastAsia="Arial" w:hAnsi="Arial"/>
          <w:color w:val="404040"/>
          <w:sz w:val="20"/>
          <w:szCs w:val="20"/>
        </w:rPr>
        <w:t xml:space="preserve">Monitoring system resources for unusual or unauthorized activities.</w:t>
      </w:r>
    </w:p>
    <w:p>
      <w:pPr>
        <w:pStyle w:val="ListParagraph"/>
        <w:numPr>
          <w:ilvl w:val="0"/>
          <w:numId w:val="2"/>
        </w:numPr>
        <w:spacing w:before="60" w:after="60"/>
      </w:pPr>
      <w:r>
        <w:rPr>
          <w:rFonts w:ascii="Arial" w:cs="Arial" w:eastAsia="Arial" w:hAnsi="Arial"/>
          <w:color w:val="404040"/>
          <w:sz w:val="20"/>
          <w:szCs w:val="20"/>
        </w:rPr>
        <w:t xml:space="preserve">Enforcing the 'least privilege' principle throughout all IT operations — users shall be granted only the minimum access required to perform their job functions.</w:t>
      </w:r>
    </w:p>
    <w:p>
      <w:pPr>
        <w:pStyle w:val="ListParagraph"/>
        <w:numPr>
          <w:ilvl w:val="0"/>
          <w:numId w:val="2"/>
        </w:numPr>
        <w:spacing w:before="60" w:after="60"/>
      </w:pPr>
      <w:r>
        <w:rPr>
          <w:rFonts w:ascii="Arial" w:cs="Arial" w:eastAsia="Arial" w:hAnsi="Arial"/>
          <w:color w:val="404040"/>
          <w:sz w:val="20"/>
          <w:szCs w:val="20"/>
        </w:rPr>
        <w:t xml:space="preserve">Ensuring individuals with system/security administrator roles have no transactional authority.</w:t>
      </w:r>
    </w:p>
    <w:p>
      <w:pPr>
        <w:pStyle w:val="ListParagraph"/>
        <w:numPr>
          <w:ilvl w:val="0"/>
          <w:numId w:val="2"/>
        </w:numPr>
        <w:spacing w:before="60" w:after="60"/>
      </w:pPr>
      <w:r>
        <w:rPr>
          <w:rFonts w:ascii="Arial" w:cs="Arial" w:eastAsia="Arial" w:hAnsi="Arial"/>
          <w:color w:val="404040"/>
          <w:sz w:val="20"/>
          <w:szCs w:val="20"/>
        </w:rPr>
        <w:t xml:space="preserve">Conducting periodic access reviews for all users, with special focus on privileged access users.</w:t>
      </w:r>
    </w:p>
    <w:p>
      <w:pPr>
        <w:pStyle w:val="ListParagraph"/>
        <w:numPr>
          <w:ilvl w:val="0"/>
          <w:numId w:val="2"/>
        </w:numPr>
        <w:spacing w:before="60" w:after="60"/>
      </w:pPr>
      <w:r>
        <w:rPr>
          <w:rFonts w:ascii="Arial" w:cs="Arial" w:eastAsia="Arial" w:hAnsi="Arial"/>
          <w:color w:val="404040"/>
          <w:sz w:val="20"/>
          <w:szCs w:val="20"/>
        </w:rPr>
        <w:t xml:space="preserve">Maintaining and reviewing security logs, including SIEM alerts, on a daily basis.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6.4 Authentication and Access Control</w:t>
      </w:r>
    </w:p>
    <w:p>
      <w:pPr>
        <w:spacing w:before="80" w:after="80"/>
        <w:jc w:val="both"/>
      </w:pPr>
      <w:r>
        <w:rPr>
          <w:rFonts w:ascii="Arial" w:cs="Arial" w:eastAsia="Arial" w:hAnsi="Arial"/>
          <w:color w:val="404040"/>
          <w:sz w:val="20"/>
          <w:szCs w:val="20"/>
        </w:rPr>
        <w:t xml:space="preserve">The Bank shall implement robust authentication and access control mechanisms:</w:t>
      </w:r>
    </w:p>
    <w:p>
      <w:pPr>
        <w:pStyle w:val="ListParagraph"/>
        <w:numPr>
          <w:ilvl w:val="0"/>
          <w:numId w:val="2"/>
        </w:numPr>
        <w:spacing w:before="60" w:after="60"/>
      </w:pPr>
      <w:r>
        <w:rPr>
          <w:rFonts w:ascii="Arial" w:cs="Arial" w:eastAsia="Arial" w:hAnsi="Arial"/>
          <w:color w:val="404040"/>
          <w:sz w:val="20"/>
          <w:szCs w:val="20"/>
        </w:rPr>
        <w:t xml:space="preserve">Multi-Factor Authentication (MFA) shall be mandatory for all privileged access users and all remote access connections.</w:t>
      </w:r>
    </w:p>
    <w:p>
      <w:pPr>
        <w:pStyle w:val="ListParagraph"/>
        <w:numPr>
          <w:ilvl w:val="0"/>
          <w:numId w:val="2"/>
        </w:numPr>
        <w:spacing w:before="60" w:after="60"/>
      </w:pPr>
      <w:r>
        <w:rPr>
          <w:rFonts w:ascii="Arial" w:cs="Arial" w:eastAsia="Arial" w:hAnsi="Arial"/>
          <w:color w:val="404040"/>
          <w:sz w:val="20"/>
          <w:szCs w:val="20"/>
        </w:rPr>
        <w:t xml:space="preserve">MFA shall be progressively rolled out to all staff with access to sensitive systems by [Date].</w:t>
      </w:r>
    </w:p>
    <w:p>
      <w:pPr>
        <w:pStyle w:val="ListParagraph"/>
        <w:numPr>
          <w:ilvl w:val="0"/>
          <w:numId w:val="2"/>
        </w:numPr>
        <w:spacing w:before="60" w:after="60"/>
      </w:pPr>
      <w:r>
        <w:rPr>
          <w:rFonts w:ascii="Arial" w:cs="Arial" w:eastAsia="Arial" w:hAnsi="Arial"/>
          <w:color w:val="404040"/>
          <w:sz w:val="20"/>
          <w:szCs w:val="20"/>
        </w:rPr>
        <w:t xml:space="preserve">User authentication mechanisms shall be commensurate with the classification of information accessed.</w:t>
      </w:r>
    </w:p>
    <w:p>
      <w:pPr>
        <w:pStyle w:val="ListParagraph"/>
        <w:numPr>
          <w:ilvl w:val="0"/>
          <w:numId w:val="2"/>
        </w:numPr>
        <w:spacing w:before="60" w:after="60"/>
      </w:pPr>
      <w:r>
        <w:rPr>
          <w:rFonts w:ascii="Arial" w:cs="Arial" w:eastAsia="Arial" w:hAnsi="Arial"/>
          <w:color w:val="404040"/>
          <w:sz w:val="20"/>
          <w:szCs w:val="20"/>
        </w:rPr>
        <w:t xml:space="preserve">All users accessing internal systems shall acknowledge an Acceptable Use Policy (AUP) before system access is granted.</w:t>
      </w:r>
    </w:p>
    <w:p>
      <w:pPr>
        <w:pStyle w:val="ListParagraph"/>
        <w:numPr>
          <w:ilvl w:val="0"/>
          <w:numId w:val="2"/>
        </w:numPr>
        <w:spacing w:before="60" w:after="60"/>
      </w:pPr>
      <w:r>
        <w:rPr>
          <w:rFonts w:ascii="Arial" w:cs="Arial" w:eastAsia="Arial" w:hAnsi="Arial"/>
          <w:color w:val="404040"/>
          <w:sz w:val="20"/>
          <w:szCs w:val="20"/>
        </w:rPr>
        <w:t xml:space="preserve">Staff assigned security management functions shall not perform other duties that create conflicts of interest.</w:t>
      </w:r>
    </w:p>
    <w:p>
      <w:pPr>
        <w:pStyle w:val="ListParagraph"/>
        <w:numPr>
          <w:ilvl w:val="0"/>
          <w:numId w:val="2"/>
        </w:numPr>
        <w:spacing w:before="60" w:after="60"/>
      </w:pPr>
      <w:r>
        <w:rPr>
          <w:rFonts w:ascii="Arial" w:cs="Arial" w:eastAsia="Arial" w:hAnsi="Arial"/>
          <w:color w:val="404040"/>
          <w:sz w:val="20"/>
          <w:szCs w:val="20"/>
        </w:rPr>
        <w:t xml:space="preserve">Password policies shall enforce minimum length of 12 characters, complexity requirements, and maximum 90-day validity.</w:t>
      </w:r>
    </w:p>
    <w:p>
      <w:pPr>
        <w:pStyle w:val="ListParagraph"/>
        <w:numPr>
          <w:ilvl w:val="0"/>
          <w:numId w:val="2"/>
        </w:numPr>
        <w:spacing w:before="60" w:after="60"/>
      </w:pPr>
      <w:r>
        <w:rPr>
          <w:rFonts w:ascii="Arial" w:cs="Arial" w:eastAsia="Arial" w:hAnsi="Arial"/>
          <w:color w:val="404040"/>
          <w:sz w:val="20"/>
          <w:szCs w:val="20"/>
        </w:rPr>
        <w:t xml:space="preserve">Session management shall include automatic timeouts after 15 minutes of inactivity for critical systems.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6.5 System Security</w:t>
      </w:r>
    </w:p>
    <w:p>
      <w:pPr>
        <w:spacing w:before="80" w:after="80"/>
        <w:jc w:val="both"/>
      </w:pPr>
      <w:r>
        <w:rPr>
          <w:rFonts w:ascii="Arial" w:cs="Arial" w:eastAsia="Arial" w:hAnsi="Arial"/>
          <w:color w:val="404040"/>
          <w:sz w:val="20"/>
          <w:szCs w:val="20"/>
        </w:rPr>
        <w:t xml:space="preserve">Operating systems, software, and databases shall be protected through the following controls:</w:t>
      </w:r>
    </w:p>
    <w:p>
      <w:pPr>
        <w:pStyle w:val="ListParagraph"/>
        <w:numPr>
          <w:ilvl w:val="0"/>
          <w:numId w:val="2"/>
        </w:numPr>
        <w:spacing w:before="60" w:after="60"/>
      </w:pPr>
      <w:r>
        <w:rPr>
          <w:rFonts w:ascii="Arial" w:cs="Arial" w:eastAsia="Arial" w:hAnsi="Arial"/>
          <w:color w:val="404040"/>
          <w:sz w:val="20"/>
          <w:szCs w:val="20"/>
        </w:rPr>
        <w:t xml:space="preserve">Defined access privileges for different groups of users, including separation of production and development access.</w:t>
      </w:r>
    </w:p>
    <w:p>
      <w:pPr>
        <w:pStyle w:val="ListParagraph"/>
        <w:numPr>
          <w:ilvl w:val="0"/>
          <w:numId w:val="2"/>
        </w:numPr>
        <w:spacing w:before="60" w:after="60"/>
      </w:pPr>
      <w:r>
        <w:rPr>
          <w:rFonts w:ascii="Arial" w:cs="Arial" w:eastAsia="Arial" w:hAnsi="Arial"/>
          <w:color w:val="404040"/>
          <w:sz w:val="20"/>
          <w:szCs w:val="20"/>
        </w:rPr>
        <w:t xml:space="preserve">Prohibition on installation of unlicensed software on any Bank-owned or Bank-managed device.</w:t>
      </w:r>
    </w:p>
    <w:p>
      <w:pPr>
        <w:pStyle w:val="ListParagraph"/>
        <w:numPr>
          <w:ilvl w:val="0"/>
          <w:numId w:val="2"/>
        </w:numPr>
        <w:spacing w:before="60" w:after="60"/>
      </w:pPr>
      <w:r>
        <w:rPr>
          <w:rFonts w:ascii="Arial" w:cs="Arial" w:eastAsia="Arial" w:hAnsi="Arial"/>
          <w:color w:val="404040"/>
          <w:sz w:val="20"/>
          <w:szCs w:val="20"/>
        </w:rPr>
        <w:t xml:space="preserve">Regular installation of software updates and security patches in accordance with the Patch Management SOP (IT-OPS-003).</w:t>
      </w:r>
    </w:p>
    <w:p>
      <w:pPr>
        <w:pStyle w:val="ListParagraph"/>
        <w:numPr>
          <w:ilvl w:val="0"/>
          <w:numId w:val="2"/>
        </w:numPr>
        <w:spacing w:before="60" w:after="60"/>
      </w:pPr>
      <w:r>
        <w:rPr>
          <w:rFonts w:ascii="Arial" w:cs="Arial" w:eastAsia="Arial" w:hAnsi="Arial"/>
          <w:color w:val="404040"/>
          <w:sz w:val="20"/>
          <w:szCs w:val="20"/>
        </w:rPr>
        <w:t xml:space="preserve">Secure baseline configuration of all hardware, operating systems, software, applications, databases, and servers, with unnecessary services disabled or removed.</w:t>
      </w:r>
    </w:p>
    <w:p>
      <w:pPr>
        <w:pStyle w:val="ListParagraph"/>
        <w:numPr>
          <w:ilvl w:val="0"/>
          <w:numId w:val="2"/>
        </w:numPr>
        <w:spacing w:before="60" w:after="60"/>
      </w:pPr>
      <w:r>
        <w:rPr>
          <w:rFonts w:ascii="Arial" w:cs="Arial" w:eastAsia="Arial" w:hAnsi="Arial"/>
          <w:color w:val="404040"/>
          <w:sz w:val="20"/>
          <w:szCs w:val="20"/>
        </w:rPr>
        <w:t xml:space="preserve">Adequate documentation of all configurations and settings.</w:t>
      </w:r>
    </w:p>
    <w:p>
      <w:pPr>
        <w:pStyle w:val="ListParagraph"/>
        <w:numPr>
          <w:ilvl w:val="0"/>
          <w:numId w:val="2"/>
        </w:numPr>
        <w:spacing w:before="60" w:after="60"/>
      </w:pPr>
      <w:r>
        <w:rPr>
          <w:rFonts w:ascii="Arial" w:cs="Arial" w:eastAsia="Arial" w:hAnsi="Arial"/>
          <w:color w:val="404040"/>
          <w:sz w:val="20"/>
          <w:szCs w:val="20"/>
        </w:rPr>
        <w:t xml:space="preserve">Comprehensive logging and monitoring of all system and user activities, with logs protected from manipulation.</w:t>
      </w:r>
    </w:p>
    <w:p>
      <w:pPr>
        <w:pStyle w:val="ListParagraph"/>
        <w:numPr>
          <w:ilvl w:val="0"/>
          <w:numId w:val="2"/>
        </w:numPr>
        <w:spacing w:before="60" w:after="60"/>
      </w:pPr>
      <w:r>
        <w:rPr>
          <w:rFonts w:ascii="Arial" w:cs="Arial" w:eastAsia="Arial" w:hAnsi="Arial"/>
          <w:color w:val="404040"/>
          <w:sz w:val="20"/>
          <w:szCs w:val="20"/>
        </w:rPr>
        <w:t xml:space="preserve">Log retention for a minimum of two (2) years for general systems and seven (7) years for financial transaction systems.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6.6 Network Security</w:t>
      </w:r>
    </w:p>
    <w:p>
      <w:pPr>
        <w:spacing w:before="80" w:after="80"/>
        <w:jc w:val="both"/>
      </w:pPr>
      <w:r>
        <w:rPr>
          <w:rFonts w:ascii="Arial" w:cs="Arial" w:eastAsia="Arial" w:hAnsi="Arial"/>
          <w:color w:val="404040"/>
          <w:sz w:val="20"/>
          <w:szCs w:val="20"/>
        </w:rPr>
        <w:t xml:space="preserve">Network security shall be managed through a layered defense approach:</w:t>
      </w:r>
    </w:p>
    <w:p>
      <w:pPr>
        <w:pStyle w:val="ListParagraph"/>
        <w:numPr>
          <w:ilvl w:val="0"/>
          <w:numId w:val="2"/>
        </w:numPr>
        <w:spacing w:before="60" w:after="60"/>
      </w:pPr>
      <w:r>
        <w:rPr>
          <w:rFonts w:ascii="Arial" w:cs="Arial" w:eastAsia="Arial" w:hAnsi="Arial"/>
          <w:color w:val="404040"/>
          <w:sz w:val="20"/>
          <w:szCs w:val="20"/>
        </w:rPr>
        <w:t xml:space="preserve">Network segmentation into security zones including Internet Zone, DMZ, Internal Zone, and Core/Restricted Zone.</w:t>
      </w:r>
    </w:p>
    <w:p>
      <w:pPr>
        <w:pStyle w:val="ListParagraph"/>
        <w:numPr>
          <w:ilvl w:val="0"/>
          <w:numId w:val="2"/>
        </w:numPr>
        <w:spacing w:before="60" w:after="60"/>
      </w:pPr>
      <w:r>
        <w:rPr>
          <w:rFonts w:ascii="Arial" w:cs="Arial" w:eastAsia="Arial" w:hAnsi="Arial"/>
          <w:color w:val="404040"/>
          <w:sz w:val="20"/>
          <w:szCs w:val="20"/>
        </w:rPr>
        <w:t xml:space="preserve">Next-Generation Firewalls (NGFW) deployed at all network perimeters and between security zones.</w:t>
      </w:r>
    </w:p>
    <w:p>
      <w:pPr>
        <w:pStyle w:val="ListParagraph"/>
        <w:numPr>
          <w:ilvl w:val="0"/>
          <w:numId w:val="2"/>
        </w:numPr>
        <w:spacing w:before="60" w:after="60"/>
      </w:pPr>
      <w:r>
        <w:rPr>
          <w:rFonts w:ascii="Arial" w:cs="Arial" w:eastAsia="Arial" w:hAnsi="Arial"/>
          <w:color w:val="404040"/>
          <w:sz w:val="20"/>
          <w:szCs w:val="20"/>
        </w:rPr>
        <w:t xml:space="preserve">Intrusion Detection System (IDS) and Intrusion Prevention System (IPS) deployed at critical network segments.</w:t>
      </w:r>
    </w:p>
    <w:p>
      <w:pPr>
        <w:pStyle w:val="ListParagraph"/>
        <w:numPr>
          <w:ilvl w:val="0"/>
          <w:numId w:val="2"/>
        </w:numPr>
        <w:spacing w:before="60" w:after="60"/>
      </w:pPr>
      <w:r>
        <w:rPr>
          <w:rFonts w:ascii="Arial" w:cs="Arial" w:eastAsia="Arial" w:hAnsi="Arial"/>
          <w:color w:val="404040"/>
          <w:sz w:val="20"/>
          <w:szCs w:val="20"/>
        </w:rPr>
        <w:t xml:space="preserve">Security Information and Event Management (SIEM) system deployed for real-time log aggregation and alerting.</w:t>
      </w:r>
    </w:p>
    <w:p>
      <w:pPr>
        <w:pStyle w:val="ListParagraph"/>
        <w:numPr>
          <w:ilvl w:val="0"/>
          <w:numId w:val="2"/>
        </w:numPr>
        <w:spacing w:before="60" w:after="60"/>
      </w:pPr>
      <w:r>
        <w:rPr>
          <w:rFonts w:ascii="Arial" w:cs="Arial" w:eastAsia="Arial" w:hAnsi="Arial"/>
          <w:color w:val="404040"/>
          <w:sz w:val="20"/>
          <w:szCs w:val="20"/>
        </w:rPr>
        <w:t xml:space="preserve">Web Application Firewalls (WAF) deployed in front of all customer-facing web applications.</w:t>
      </w:r>
    </w:p>
    <w:p>
      <w:pPr>
        <w:pStyle w:val="ListParagraph"/>
        <w:numPr>
          <w:ilvl w:val="0"/>
          <w:numId w:val="2"/>
        </w:numPr>
        <w:spacing w:before="60" w:after="60"/>
      </w:pPr>
      <w:r>
        <w:rPr>
          <w:rFonts w:ascii="Arial" w:cs="Arial" w:eastAsia="Arial" w:hAnsi="Arial"/>
          <w:color w:val="404040"/>
          <w:sz w:val="20"/>
          <w:szCs w:val="20"/>
        </w:rPr>
        <w:t xml:space="preserve">Periodic network vulnerability assessments and penetration testing as per the Security Testing schedule.</w:t>
      </w:r>
    </w:p>
    <w:p>
      <w:pPr>
        <w:pStyle w:val="ListParagraph"/>
        <w:numPr>
          <w:ilvl w:val="0"/>
          <w:numId w:val="2"/>
        </w:numPr>
        <w:spacing w:before="60" w:after="60"/>
      </w:pPr>
      <w:r>
        <w:rPr>
          <w:rFonts w:ascii="Arial" w:cs="Arial" w:eastAsia="Arial" w:hAnsi="Arial"/>
          <w:color w:val="404040"/>
          <w:sz w:val="20"/>
          <w:szCs w:val="20"/>
        </w:rPr>
        <w:t xml:space="preserve">All device configurations shall be backed up on a regular basis and stored securely.</w:t>
      </w:r>
    </w:p>
    <w:p>
      <w:pPr>
        <w:pStyle w:val="ListParagraph"/>
        <w:numPr>
          <w:ilvl w:val="0"/>
          <w:numId w:val="2"/>
        </w:numPr>
        <w:spacing w:before="60" w:after="60"/>
      </w:pPr>
      <w:r>
        <w:rPr>
          <w:rFonts w:ascii="Arial" w:cs="Arial" w:eastAsia="Arial" w:hAnsi="Arial"/>
          <w:color w:val="404040"/>
          <w:sz w:val="20"/>
          <w:szCs w:val="20"/>
        </w:rPr>
        <w:t xml:space="preserve">Network access control (NAC) to prevent unauthorized devices from connecting to the Bank's network.</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6.7 Remote Access</w:t>
      </w:r>
    </w:p>
    <w:p>
      <w:pPr>
        <w:spacing w:before="80" w:after="80"/>
        <w:jc w:val="both"/>
      </w:pPr>
      <w:r>
        <w:rPr>
          <w:rFonts w:ascii="Arial" w:cs="Arial" w:eastAsia="Arial" w:hAnsi="Arial"/>
          <w:color w:val="404040"/>
          <w:sz w:val="20"/>
          <w:szCs w:val="20"/>
        </w:rPr>
        <w:t xml:space="preserve">Remote access to the Bank's systems shall be governed by strict controls:</w:t>
      </w:r>
    </w:p>
    <w:p>
      <w:pPr>
        <w:pStyle w:val="ListParagraph"/>
        <w:numPr>
          <w:ilvl w:val="0"/>
          <w:numId w:val="2"/>
        </w:numPr>
        <w:spacing w:before="60" w:after="60"/>
      </w:pPr>
      <w:r>
        <w:rPr>
          <w:rFonts w:ascii="Arial" w:cs="Arial" w:eastAsia="Arial" w:hAnsi="Arial"/>
          <w:color w:val="404040"/>
          <w:sz w:val="20"/>
          <w:szCs w:val="20"/>
        </w:rPr>
        <w:t xml:space="preserve">Remote access shall only be permitted through Bank-approved and configured VPN solutions with MFA.</w:t>
      </w:r>
    </w:p>
    <w:p>
      <w:pPr>
        <w:pStyle w:val="ListParagraph"/>
        <w:numPr>
          <w:ilvl w:val="0"/>
          <w:numId w:val="2"/>
        </w:numPr>
        <w:spacing w:before="60" w:after="60"/>
      </w:pPr>
      <w:r>
        <w:rPr>
          <w:rFonts w:ascii="Arial" w:cs="Arial" w:eastAsia="Arial" w:hAnsi="Arial"/>
          <w:color w:val="404040"/>
          <w:sz w:val="20"/>
          <w:szCs w:val="20"/>
        </w:rPr>
        <w:t xml:space="preserve">All remote access requests shall be subject to a formal approval process with written management authorization.</w:t>
      </w:r>
    </w:p>
    <w:p>
      <w:pPr>
        <w:pStyle w:val="ListParagraph"/>
        <w:numPr>
          <w:ilvl w:val="0"/>
          <w:numId w:val="2"/>
        </w:numPr>
        <w:spacing w:before="60" w:after="60"/>
      </w:pPr>
      <w:r>
        <w:rPr>
          <w:rFonts w:ascii="Arial" w:cs="Arial" w:eastAsia="Arial" w:hAnsi="Arial"/>
          <w:color w:val="404040"/>
          <w:sz w:val="20"/>
          <w:szCs w:val="20"/>
        </w:rPr>
        <w:t xml:space="preserve">Remote access sessions shall be logged and monitored in real-time.</w:t>
      </w:r>
    </w:p>
    <w:p>
      <w:pPr>
        <w:pStyle w:val="ListParagraph"/>
        <w:numPr>
          <w:ilvl w:val="0"/>
          <w:numId w:val="2"/>
        </w:numPr>
        <w:spacing w:before="60" w:after="60"/>
      </w:pPr>
      <w:r>
        <w:rPr>
          <w:rFonts w:ascii="Arial" w:cs="Arial" w:eastAsia="Arial" w:hAnsi="Arial"/>
          <w:color w:val="404040"/>
          <w:sz w:val="20"/>
          <w:szCs w:val="20"/>
        </w:rPr>
        <w:t xml:space="preserve">Data encryption shall be applied to all remote access communications using TLS 1.2 or higher.</w:t>
      </w:r>
    </w:p>
    <w:p>
      <w:pPr>
        <w:pStyle w:val="ListParagraph"/>
        <w:numPr>
          <w:ilvl w:val="0"/>
          <w:numId w:val="2"/>
        </w:numPr>
        <w:spacing w:before="60" w:after="60"/>
      </w:pPr>
      <w:r>
        <w:rPr>
          <w:rFonts w:ascii="Arial" w:cs="Arial" w:eastAsia="Arial" w:hAnsi="Arial"/>
          <w:color w:val="404040"/>
          <w:sz w:val="20"/>
          <w:szCs w:val="20"/>
        </w:rPr>
        <w:t xml:space="preserve">Remote access rights shall be reviewed quarterly and revoked immediately upon role change or termination.</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6.8 Encryption</w:t>
      </w:r>
    </w:p>
    <w:p>
      <w:pPr>
        <w:spacing w:before="80" w:after="80"/>
        <w:jc w:val="both"/>
      </w:pPr>
      <w:r>
        <w:rPr>
          <w:rFonts w:ascii="Arial" w:cs="Arial" w:eastAsia="Arial" w:hAnsi="Arial"/>
          <w:color w:val="404040"/>
          <w:sz w:val="20"/>
          <w:szCs w:val="20"/>
        </w:rPr>
        <w:t xml:space="preserve">The Bank shall implement encryption as a critical control to protect sensitive data:</w:t>
      </w:r>
    </w:p>
    <w:p>
      <w:pPr>
        <w:pStyle w:val="ListParagraph"/>
        <w:numPr>
          <w:ilvl w:val="0"/>
          <w:numId w:val="2"/>
        </w:numPr>
        <w:spacing w:before="60" w:after="60"/>
      </w:pPr>
      <w:r>
        <w:rPr>
          <w:rFonts w:ascii="Arial" w:cs="Arial" w:eastAsia="Arial" w:hAnsi="Arial"/>
          <w:color w:val="404040"/>
          <w:sz w:val="20"/>
          <w:szCs w:val="20"/>
        </w:rPr>
        <w:t xml:space="preserve">Database-level encryption shall be applied to all databases storing confidential or restricted customer data.</w:t>
      </w:r>
    </w:p>
    <w:p>
      <w:pPr>
        <w:pStyle w:val="ListParagraph"/>
        <w:numPr>
          <w:ilvl w:val="0"/>
          <w:numId w:val="2"/>
        </w:numPr>
        <w:spacing w:before="60" w:after="60"/>
      </w:pPr>
      <w:r>
        <w:rPr>
          <w:rFonts w:ascii="Arial" w:cs="Arial" w:eastAsia="Arial" w:hAnsi="Arial"/>
          <w:color w:val="404040"/>
          <w:sz w:val="20"/>
          <w:szCs w:val="20"/>
        </w:rPr>
        <w:t xml:space="preserve">Storage-level encryption (at-rest) shall be applied to all servers, laptops, mobile devices, and backup media.</w:t>
      </w:r>
    </w:p>
    <w:p>
      <w:pPr>
        <w:pStyle w:val="ListParagraph"/>
        <w:numPr>
          <w:ilvl w:val="0"/>
          <w:numId w:val="2"/>
        </w:numPr>
        <w:spacing w:before="60" w:after="60"/>
      </w:pPr>
      <w:r>
        <w:rPr>
          <w:rFonts w:ascii="Arial" w:cs="Arial" w:eastAsia="Arial" w:hAnsi="Arial"/>
          <w:color w:val="404040"/>
          <w:sz w:val="20"/>
          <w:szCs w:val="20"/>
        </w:rPr>
        <w:t xml:space="preserve">Data-in-transit shall be encrypted using TLS 1.2 or higher for all network communications.</w:t>
      </w:r>
    </w:p>
    <w:p>
      <w:pPr>
        <w:pStyle w:val="ListParagraph"/>
        <w:numPr>
          <w:ilvl w:val="0"/>
          <w:numId w:val="2"/>
        </w:numPr>
        <w:spacing w:before="60" w:after="60"/>
      </w:pPr>
      <w:r>
        <w:rPr>
          <w:rFonts w:ascii="Arial" w:cs="Arial" w:eastAsia="Arial" w:hAnsi="Arial"/>
          <w:color w:val="404040"/>
          <w:sz w:val="20"/>
          <w:szCs w:val="20"/>
        </w:rPr>
        <w:t xml:space="preserve">End-to-end encryption shall be applied to all customer-facing digital banking channels.</w:t>
      </w:r>
    </w:p>
    <w:p>
      <w:pPr>
        <w:pStyle w:val="ListParagraph"/>
        <w:numPr>
          <w:ilvl w:val="0"/>
          <w:numId w:val="2"/>
        </w:numPr>
        <w:spacing w:before="60" w:after="60"/>
      </w:pPr>
      <w:r>
        <w:rPr>
          <w:rFonts w:ascii="Arial" w:cs="Arial" w:eastAsia="Arial" w:hAnsi="Arial"/>
          <w:color w:val="404040"/>
          <w:sz w:val="20"/>
          <w:szCs w:val="20"/>
        </w:rPr>
        <w:t xml:space="preserve">Cryptographic keys shall be managed through a formal Key Management procedure including generation, distribution, storage, rotation, and destruction.</w:t>
      </w:r>
    </w:p>
    <w:p>
      <w:pPr>
        <w:pStyle w:val="ListParagraph"/>
        <w:numPr>
          <w:ilvl w:val="0"/>
          <w:numId w:val="2"/>
        </w:numPr>
        <w:spacing w:before="60" w:after="60"/>
      </w:pPr>
      <w:r>
        <w:rPr>
          <w:rFonts w:ascii="Arial" w:cs="Arial" w:eastAsia="Arial" w:hAnsi="Arial"/>
          <w:color w:val="404040"/>
          <w:sz w:val="20"/>
          <w:szCs w:val="20"/>
        </w:rPr>
        <w:t xml:space="preserve">Weak or deprecated cryptographic algorithms (MD5, SHA-1, DES, 3DES, SSL, TLS 1.0/1.1) shall not be used.</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7. Cyber Security Action Plan</w:t>
      </w:r>
    </w:p>
    <w:p>
      <w:pPr>
        <w:pStyle w:val="Heading2"/>
        <w:spacing w:before="240" w:after="100"/>
      </w:pPr>
      <w:r>
        <w:rPr>
          <w:rFonts w:ascii="Arial" w:cs="Arial" w:eastAsia="Arial" w:hAnsi="Arial"/>
          <w:b/>
          <w:bCs/>
          <w:color w:val="2E75B6"/>
          <w:sz w:val="24"/>
          <w:szCs w:val="24"/>
        </w:rPr>
        <w:t xml:space="preserve">7.1 Overview</w:t>
      </w:r>
    </w:p>
    <w:p>
      <w:pPr>
        <w:spacing w:before="80" w:after="80"/>
        <w:jc w:val="both"/>
      </w:pPr>
      <w:r>
        <w:rPr>
          <w:rFonts w:ascii="Arial" w:cs="Arial" w:eastAsia="Arial" w:hAnsi="Arial"/>
          <w:color w:val="404040"/>
          <w:sz w:val="20"/>
          <w:szCs w:val="20"/>
        </w:rPr>
        <w:t xml:space="preserve">The Bank shall formulate and maintain a Cyber Security Action Plan (documented separately as IT-SEC-002) to proactively anticipate, withstand, detect, and respond to cyber attacks in line with international standards and best practices (SBP ETGRMF Section 2.5).</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7.2 Key Pillars of the Cyber Security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Govern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Strong Board and senior management-level engagement; clear accountability chain; Board IT Committee oversight of cyber security posture.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Identify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Asset inventory; threat identification; vulnerability assessment; risk register maintenance.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Protect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Multi-layer security (firewalls, MFA, encryption, endpoint protection, WAF, IPS/IDS); access control; patch management; security awareness training.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Detect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SIEM deployment; 24/7 security monitoring; automated anomaly detection; threat intelligence feeds.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Respond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Incident Response Plan; rapid response team; 48-hour SBP notification; forensic investigation capabilities.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Recover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DR/BCP plan; data backup and recovery; post-incident review; lessons learned integration.</w:t>
            </w:r>
          </w:p>
        </w:tc>
      </w:tr>
    </w:tbl>
    <w:p>
      <w:pPr>
        <w:spacing w:before="120" w:after="120"/>
      </w:pPr>
      <w:r>
        <w:t xml:space="preserve"/>
      </w:r>
    </w:p>
    <w:p>
      <w:pPr>
        <w:pStyle w:val="Heading2"/>
        <w:spacing w:before="240" w:after="100"/>
      </w:pPr>
      <w:r>
        <w:rPr>
          <w:rFonts w:ascii="Arial" w:cs="Arial" w:eastAsia="Arial" w:hAnsi="Arial"/>
          <w:b/>
          <w:bCs/>
          <w:color w:val="2E75B6"/>
          <w:sz w:val="24"/>
          <w:szCs w:val="24"/>
        </w:rPr>
        <w:t xml:space="preserve">7.3 Cyber Security Awareness Program</w:t>
      </w:r>
    </w:p>
    <w:p>
      <w:pPr>
        <w:spacing w:before="80" w:after="80"/>
        <w:jc w:val="both"/>
      </w:pPr>
      <w:r>
        <w:rPr>
          <w:rFonts w:ascii="Arial" w:cs="Arial" w:eastAsia="Arial" w:hAnsi="Arial"/>
          <w:color w:val="404040"/>
          <w:sz w:val="20"/>
          <w:szCs w:val="20"/>
        </w:rPr>
        <w:t xml:space="preserve">The Bank shall develop and maintain a robust cyber security awareness program ensuring all end-users understand the importance of protecting sensitive information and the risks of mishandling it. The program shall include:</w:t>
      </w:r>
    </w:p>
    <w:p>
      <w:pPr>
        <w:pStyle w:val="ListParagraph"/>
        <w:numPr>
          <w:ilvl w:val="0"/>
          <w:numId w:val="2"/>
        </w:numPr>
        <w:spacing w:before="60" w:after="60"/>
      </w:pPr>
      <w:r>
        <w:rPr>
          <w:rFonts w:ascii="Arial" w:cs="Arial" w:eastAsia="Arial" w:hAnsi="Arial"/>
          <w:color w:val="404040"/>
          <w:sz w:val="20"/>
          <w:szCs w:val="20"/>
        </w:rPr>
        <w:t xml:space="preserve">Annual mandatory cyber security awareness training for all staff.</w:t>
      </w:r>
    </w:p>
    <w:p>
      <w:pPr>
        <w:pStyle w:val="ListParagraph"/>
        <w:numPr>
          <w:ilvl w:val="0"/>
          <w:numId w:val="2"/>
        </w:numPr>
        <w:spacing w:before="60" w:after="60"/>
      </w:pPr>
      <w:r>
        <w:rPr>
          <w:rFonts w:ascii="Arial" w:cs="Arial" w:eastAsia="Arial" w:hAnsi="Arial"/>
          <w:color w:val="404040"/>
          <w:sz w:val="20"/>
          <w:szCs w:val="20"/>
        </w:rPr>
        <w:t xml:space="preserve">Role-specific training for high-risk roles (IT staff, finance, executives, privileged users).</w:t>
      </w:r>
    </w:p>
    <w:p>
      <w:pPr>
        <w:pStyle w:val="ListParagraph"/>
        <w:numPr>
          <w:ilvl w:val="0"/>
          <w:numId w:val="2"/>
        </w:numPr>
        <w:spacing w:before="60" w:after="60"/>
      </w:pPr>
      <w:r>
        <w:rPr>
          <w:rFonts w:ascii="Arial" w:cs="Arial" w:eastAsia="Arial" w:hAnsi="Arial"/>
          <w:color w:val="404040"/>
          <w:sz w:val="20"/>
          <w:szCs w:val="20"/>
        </w:rPr>
        <w:t xml:space="preserve">Regular simulated phishing exercises with defined target click rate thresholds.</w:t>
      </w:r>
    </w:p>
    <w:p>
      <w:pPr>
        <w:pStyle w:val="ListParagraph"/>
        <w:numPr>
          <w:ilvl w:val="0"/>
          <w:numId w:val="2"/>
        </w:numPr>
        <w:spacing w:before="60" w:after="60"/>
      </w:pPr>
      <w:r>
        <w:rPr>
          <w:rFonts w:ascii="Arial" w:cs="Arial" w:eastAsia="Arial" w:hAnsi="Arial"/>
          <w:color w:val="404040"/>
          <w:sz w:val="20"/>
          <w:szCs w:val="20"/>
        </w:rPr>
        <w:t xml:space="preserve">Security awareness communications including alerts on emerging threats.</w:t>
      </w:r>
    </w:p>
    <w:p>
      <w:pPr>
        <w:pStyle w:val="ListParagraph"/>
        <w:numPr>
          <w:ilvl w:val="0"/>
          <w:numId w:val="2"/>
        </w:numPr>
        <w:spacing w:before="60" w:after="60"/>
      </w:pPr>
      <w:r>
        <w:rPr>
          <w:rFonts w:ascii="Arial" w:cs="Arial" w:eastAsia="Arial" w:hAnsi="Arial"/>
          <w:color w:val="404040"/>
          <w:sz w:val="20"/>
          <w:szCs w:val="20"/>
        </w:rPr>
        <w:t xml:space="preserve">Cyber security induction training for all new joiners.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7.4 Vendor and Third-Party Access</w:t>
      </w:r>
    </w:p>
    <w:p>
      <w:pPr>
        <w:spacing w:before="80" w:after="80"/>
        <w:jc w:val="both"/>
      </w:pPr>
      <w:r>
        <w:rPr>
          <w:rFonts w:ascii="Arial" w:cs="Arial" w:eastAsia="Arial" w:hAnsi="Arial"/>
          <w:color w:val="404040"/>
          <w:sz w:val="20"/>
          <w:szCs w:val="20"/>
        </w:rPr>
        <w:t xml:space="preserve">Written procedures shall be established to govern vendor access to sensitive data, information, and systems, including:</w:t>
      </w:r>
    </w:p>
    <w:p>
      <w:pPr>
        <w:pStyle w:val="ListParagraph"/>
        <w:numPr>
          <w:ilvl w:val="0"/>
          <w:numId w:val="2"/>
        </w:numPr>
        <w:spacing w:before="60" w:after="60"/>
      </w:pPr>
      <w:r>
        <w:rPr>
          <w:rFonts w:ascii="Arial" w:cs="Arial" w:eastAsia="Arial" w:hAnsi="Arial"/>
          <w:color w:val="404040"/>
          <w:sz w:val="20"/>
          <w:szCs w:val="20"/>
        </w:rPr>
        <w:t xml:space="preserve">Formal approval process for granting vendor access.</w:t>
      </w:r>
    </w:p>
    <w:p>
      <w:pPr>
        <w:pStyle w:val="ListParagraph"/>
        <w:numPr>
          <w:ilvl w:val="0"/>
          <w:numId w:val="2"/>
        </w:numPr>
        <w:spacing w:before="60" w:after="60"/>
      </w:pPr>
      <w:r>
        <w:rPr>
          <w:rFonts w:ascii="Arial" w:cs="Arial" w:eastAsia="Arial" w:hAnsi="Arial"/>
          <w:color w:val="404040"/>
          <w:sz w:val="20"/>
          <w:szCs w:val="20"/>
        </w:rPr>
        <w:t xml:space="preserve">Time-limited access credentials that expire automatically.</w:t>
      </w:r>
    </w:p>
    <w:p>
      <w:pPr>
        <w:pStyle w:val="ListParagraph"/>
        <w:numPr>
          <w:ilvl w:val="0"/>
          <w:numId w:val="2"/>
        </w:numPr>
        <w:spacing w:before="60" w:after="60"/>
      </w:pPr>
      <w:r>
        <w:rPr>
          <w:rFonts w:ascii="Arial" w:cs="Arial" w:eastAsia="Arial" w:hAnsi="Arial"/>
          <w:color w:val="404040"/>
          <w:sz w:val="20"/>
          <w:szCs w:val="20"/>
        </w:rPr>
        <w:t xml:space="preserve">Logging and monitoring of all vendor access sessions.</w:t>
      </w:r>
    </w:p>
    <w:p>
      <w:pPr>
        <w:pStyle w:val="ListParagraph"/>
        <w:numPr>
          <w:ilvl w:val="0"/>
          <w:numId w:val="2"/>
        </w:numPr>
        <w:spacing w:before="60" w:after="60"/>
      </w:pPr>
      <w:r>
        <w:rPr>
          <w:rFonts w:ascii="Arial" w:cs="Arial" w:eastAsia="Arial" w:hAnsi="Arial"/>
          <w:color w:val="404040"/>
          <w:sz w:val="20"/>
          <w:szCs w:val="20"/>
        </w:rPr>
        <w:t xml:space="preserve">Non-Disclosure Agreements (NDAs) and contractual security obligations for all vendors.</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8. Incident Reporting</w:t>
      </w:r>
    </w:p>
    <w:p>
      <w:pPr>
        <w:pStyle w:val="Heading2"/>
        <w:spacing w:before="240" w:after="100"/>
      </w:pPr>
      <w:r>
        <w:rPr>
          <w:rFonts w:ascii="Arial" w:cs="Arial" w:eastAsia="Arial" w:hAnsi="Arial"/>
          <w:b/>
          <w:bCs/>
          <w:color w:val="2E75B6"/>
          <w:sz w:val="24"/>
          <w:szCs w:val="24"/>
        </w:rPr>
        <w:t xml:space="preserve">8.1 Internal Incident Management</w:t>
      </w:r>
    </w:p>
    <w:p>
      <w:pPr>
        <w:spacing w:before="80" w:after="80"/>
        <w:jc w:val="both"/>
      </w:pPr>
      <w:r>
        <w:rPr>
          <w:rFonts w:ascii="Arial" w:cs="Arial" w:eastAsia="Arial" w:hAnsi="Arial"/>
          <w:color w:val="404040"/>
          <w:sz w:val="20"/>
          <w:szCs w:val="20"/>
        </w:rPr>
        <w:t xml:space="preserve">All information security incidents shall be managed in accordance with the Incident Response SOP (IT-SEC-004). The Bank shall ensure:</w:t>
      </w:r>
    </w:p>
    <w:p>
      <w:pPr>
        <w:pStyle w:val="ListParagraph"/>
        <w:numPr>
          <w:ilvl w:val="0"/>
          <w:numId w:val="2"/>
        </w:numPr>
        <w:spacing w:before="60" w:after="60"/>
      </w:pPr>
      <w:r>
        <w:rPr>
          <w:rFonts w:ascii="Arial" w:cs="Arial" w:eastAsia="Arial" w:hAnsi="Arial"/>
          <w:color w:val="404040"/>
          <w:sz w:val="20"/>
          <w:szCs w:val="20"/>
        </w:rPr>
        <w:t xml:space="preserve">All incidents are reported to the Security Operations function immediately upon detection.</w:t>
      </w:r>
    </w:p>
    <w:p>
      <w:pPr>
        <w:pStyle w:val="ListParagraph"/>
        <w:numPr>
          <w:ilvl w:val="0"/>
          <w:numId w:val="2"/>
        </w:numPr>
        <w:spacing w:before="60" w:after="60"/>
      </w:pPr>
      <w:r>
        <w:rPr>
          <w:rFonts w:ascii="Arial" w:cs="Arial" w:eastAsia="Arial" w:hAnsi="Arial"/>
          <w:color w:val="404040"/>
          <w:sz w:val="20"/>
          <w:szCs w:val="20"/>
        </w:rPr>
        <w:t xml:space="preserve">A security incident log (IT-SEC-REG-002) is maintained with full details of each incident.</w:t>
      </w:r>
    </w:p>
    <w:p>
      <w:pPr>
        <w:pStyle w:val="ListParagraph"/>
        <w:numPr>
          <w:ilvl w:val="0"/>
          <w:numId w:val="2"/>
        </w:numPr>
        <w:spacing w:before="60" w:after="60"/>
      </w:pPr>
      <w:r>
        <w:rPr>
          <w:rFonts w:ascii="Arial" w:cs="Arial" w:eastAsia="Arial" w:hAnsi="Arial"/>
          <w:color w:val="404040"/>
          <w:sz w:val="20"/>
          <w:szCs w:val="20"/>
        </w:rPr>
        <w:t xml:space="preserve">MIS on incidents, logs, and breaches is regularly reviewed by Senior Management.</w:t>
      </w:r>
    </w:p>
    <w:p>
      <w:pPr>
        <w:pStyle w:val="ListParagraph"/>
        <w:numPr>
          <w:ilvl w:val="0"/>
          <w:numId w:val="2"/>
        </w:numPr>
        <w:spacing w:before="60" w:after="60"/>
      </w:pPr>
      <w:r>
        <w:rPr>
          <w:rFonts w:ascii="Arial" w:cs="Arial" w:eastAsia="Arial" w:hAnsi="Arial"/>
          <w:color w:val="404040"/>
          <w:sz w:val="20"/>
          <w:szCs w:val="20"/>
        </w:rPr>
        <w:t xml:space="preserve">Significant incidents are submitted for review to the IT Steering Committee on a regular basis.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8.2 SBP Regulatory Reporting</w:t>
      </w:r>
    </w:p>
    <w:p>
      <w:pPr>
        <w:spacing w:before="80" w:after="80"/>
        <w:jc w:val="both"/>
      </w:pPr>
      <w:r>
        <w:rPr>
          <w:rFonts w:ascii="Arial" w:cs="Arial" w:eastAsia="Arial" w:hAnsi="Arial"/>
          <w:color w:val="404040"/>
          <w:sz w:val="20"/>
          <w:szCs w:val="20"/>
        </w:rPr>
        <w:t xml:space="preserve">In accordance with SBP ETGRMF Section 2.6(b), the Bank shall report to Banking Policy &amp; Regulation Department (BPRD), SBP within forty-eight (48) hours of the incident all established information/cyber security breaches and related incidents involving:</w:t>
      </w:r>
    </w:p>
    <w:p>
      <w:pPr>
        <w:pStyle w:val="ListParagraph"/>
        <w:numPr>
          <w:ilvl w:val="0"/>
          <w:numId w:val="2"/>
        </w:numPr>
        <w:spacing w:before="60" w:after="60"/>
      </w:pPr>
      <w:r>
        <w:rPr>
          <w:rFonts w:ascii="Arial" w:cs="Arial" w:eastAsia="Arial" w:hAnsi="Arial"/>
          <w:color w:val="404040"/>
          <w:sz w:val="20"/>
          <w:szCs w:val="20"/>
        </w:rPr>
        <w:t xml:space="preserve">Financial loss (actual or potential) arising from a security incident.</w:t>
      </w:r>
    </w:p>
    <w:p>
      <w:pPr>
        <w:pStyle w:val="ListParagraph"/>
        <w:numPr>
          <w:ilvl w:val="0"/>
          <w:numId w:val="2"/>
        </w:numPr>
        <w:spacing w:before="60" w:after="60"/>
      </w:pPr>
      <w:r>
        <w:rPr>
          <w:rFonts w:ascii="Arial" w:cs="Arial" w:eastAsia="Arial" w:hAnsi="Arial"/>
          <w:color w:val="404040"/>
          <w:sz w:val="20"/>
          <w:szCs w:val="20"/>
        </w:rPr>
        <w:t xml:space="preserve">Theft of confidential data including customer PII or financial records.</w:t>
      </w:r>
    </w:p>
    <w:p>
      <w:pPr>
        <w:pStyle w:val="ListParagraph"/>
        <w:numPr>
          <w:ilvl w:val="0"/>
          <w:numId w:val="2"/>
        </w:numPr>
        <w:spacing w:before="60" w:after="60"/>
      </w:pPr>
      <w:r>
        <w:rPr>
          <w:rFonts w:ascii="Arial" w:cs="Arial" w:eastAsia="Arial" w:hAnsi="Arial"/>
          <w:color w:val="404040"/>
          <w:sz w:val="20"/>
          <w:szCs w:val="20"/>
        </w:rPr>
        <w:t xml:space="preserve">Major disruption in the banking system or communication channel resulting in non-availability of banking services for customers for more than two (2) hours.</w:t>
      </w:r>
    </w:p>
    <w:p>
      <w:pPr>
        <w:spacing w:before="80" w:after="80"/>
      </w:pPr>
      <w:r>
        <w:t xml:space="preserve"/>
      </w:r>
    </w:p>
    <w:p>
      <w:pPr>
        <w:spacing w:before="80" w:after="80"/>
        <w:jc w:val="both"/>
      </w:pPr>
      <w:r>
        <w:rPr>
          <w:rFonts w:ascii="Arial" w:cs="Arial" w:eastAsia="Arial" w:hAnsi="Arial"/>
          <w:color w:val="404040"/>
          <w:sz w:val="20"/>
          <w:szCs w:val="20"/>
        </w:rPr>
        <w:t xml:space="preserve">The CISO shall be responsible for all SBP regulatory notifications. Reporting shall use the template provided in Annexure-I of PSD Circular No. 03 of 2015. The CISO shall maintain a log of all regulatory notifications submitted.</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9. Security Requirements and Testing</w:t>
      </w:r>
    </w:p>
    <w:p>
      <w:pPr>
        <w:pStyle w:val="Heading2"/>
        <w:spacing w:before="240" w:after="100"/>
      </w:pPr>
      <w:r>
        <w:rPr>
          <w:rFonts w:ascii="Arial" w:cs="Arial" w:eastAsia="Arial" w:hAnsi="Arial"/>
          <w:b/>
          <w:bCs/>
          <w:color w:val="2E75B6"/>
          <w:sz w:val="24"/>
          <w:szCs w:val="24"/>
        </w:rPr>
        <w:t xml:space="preserve">9.1 Security Testing Program</w:t>
      </w:r>
    </w:p>
    <w:p>
      <w:pPr>
        <w:spacing w:before="80" w:after="80"/>
        <w:jc w:val="both"/>
      </w:pPr>
      <w:r>
        <w:rPr>
          <w:rFonts w:ascii="Arial" w:cs="Arial" w:eastAsia="Arial" w:hAnsi="Arial"/>
          <w:color w:val="404040"/>
          <w:sz w:val="20"/>
          <w:szCs w:val="20"/>
        </w:rPr>
        <w:t xml:space="preserve">The Bank shall maintain a comprehensive security testing program to validate the effectiveness of its information security environment. All test results shall be used to improve the Bank's security posture. Testing shall involve both internal and external stakeholders as appropriate.</w:t>
      </w:r>
    </w:p>
    <w:p>
      <w:pPr>
        <w:spacing w:before="80" w:after="80"/>
      </w:pPr>
      <w:r>
        <w:t xml:space="preserve"/>
      </w:r>
    </w:p>
    <w:p>
      <w:pPr>
        <w:spacing w:before="80" w:after="80"/>
        <w:jc w:val="both"/>
      </w:pPr>
      <w:r>
        <w:rPr>
          <w:rFonts w:ascii="Arial" w:cs="Arial" w:eastAsia="Arial" w:hAnsi="Arial"/>
          <w:color w:val="404040"/>
          <w:sz w:val="20"/>
          <w:szCs w:val="20"/>
        </w:rPr>
        <w:t xml:space="preserve">All production data shall be properly masked in test environments involving external parties. For internal testing, appropriate data masking shall be applied based on data criticality.</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9.2 Testing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Testing 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 and Method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Vulnerability Assessment (VA)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Automated and manual scanning of systems to identify vulnerabilities. Validation testing to confirm gap remediation.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Quarterly / After major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 / External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Penetration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Simulated external and internal attacks to identify exploitable vulnerabilities in systems, networks, and people. Also at time of major software deployments.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Annual / Post major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Approved External Firm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Scenario-Based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Tabletop and simulation exercises testing incident response, recovery, and BCP plans against cyber attack scenarios.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Semi-Annual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 / CIO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Quality Assurance (QA)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Independent QA function testing in-house developed software for security vulnerabilities before production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Each development release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QA / CISO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Social Engineering Tests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Phishing simulations and other social engineering exercises to test staff awareness.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Quarterly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Application Security Review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Source code review and dynamic analysis of critical applications for security vulnerabilities.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Annual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 / External</w:t>
            </w:r>
          </w:p>
        </w:tc>
      </w:tr>
    </w:tbl>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10. Risk Monitoring and Reporting</w:t>
      </w:r>
    </w:p>
    <w:p>
      <w:pPr>
        <w:pStyle w:val="Heading2"/>
        <w:spacing w:before="240" w:after="100"/>
      </w:pPr>
      <w:r>
        <w:rPr>
          <w:rFonts w:ascii="Arial" w:cs="Arial" w:eastAsia="Arial" w:hAnsi="Arial"/>
          <w:b/>
          <w:bCs/>
          <w:color w:val="2E75B6"/>
          <w:sz w:val="24"/>
          <w:szCs w:val="24"/>
        </w:rPr>
        <w:t xml:space="preserve">10.1 Risk Register</w:t>
      </w:r>
    </w:p>
    <w:p>
      <w:pPr>
        <w:spacing w:before="80" w:after="80"/>
        <w:jc w:val="both"/>
      </w:pPr>
      <w:r>
        <w:rPr>
          <w:rFonts w:ascii="Arial" w:cs="Arial" w:eastAsia="Arial" w:hAnsi="Arial"/>
          <w:color w:val="404040"/>
          <w:sz w:val="20"/>
          <w:szCs w:val="20"/>
        </w:rPr>
        <w:t xml:space="preserve">The Bank shall maintain a live IT Risk Register (IT-SEC-REG-001) to facilitate ongoing monitoring and reporting of information security risks. The risk register shall:</w:t>
      </w:r>
    </w:p>
    <w:p>
      <w:pPr>
        <w:pStyle w:val="ListParagraph"/>
        <w:numPr>
          <w:ilvl w:val="0"/>
          <w:numId w:val="2"/>
        </w:numPr>
        <w:spacing w:before="60" w:after="60"/>
      </w:pPr>
      <w:r>
        <w:rPr>
          <w:rFonts w:ascii="Arial" w:cs="Arial" w:eastAsia="Arial" w:hAnsi="Arial"/>
          <w:color w:val="404040"/>
          <w:sz w:val="20"/>
          <w:szCs w:val="20"/>
        </w:rPr>
        <w:t xml:space="preserve">Include all identified risks with their likelihood, impact, risk score, rating, treatment strategy, control owner, and status.</w:t>
      </w:r>
    </w:p>
    <w:p>
      <w:pPr>
        <w:pStyle w:val="ListParagraph"/>
        <w:numPr>
          <w:ilvl w:val="0"/>
          <w:numId w:val="2"/>
        </w:numPr>
        <w:spacing w:before="60" w:after="60"/>
      </w:pPr>
      <w:r>
        <w:rPr>
          <w:rFonts w:ascii="Arial" w:cs="Arial" w:eastAsia="Arial" w:hAnsi="Arial"/>
          <w:color w:val="404040"/>
          <w:sz w:val="20"/>
          <w:szCs w:val="20"/>
        </w:rPr>
        <w:t xml:space="preserve">Be updated at least quarterly and following any significant change to the risk environment.</w:t>
      </w:r>
    </w:p>
    <w:p>
      <w:pPr>
        <w:pStyle w:val="ListParagraph"/>
        <w:numPr>
          <w:ilvl w:val="0"/>
          <w:numId w:val="2"/>
        </w:numPr>
        <w:spacing w:before="60" w:after="60"/>
      </w:pPr>
      <w:r>
        <w:rPr>
          <w:rFonts w:ascii="Arial" w:cs="Arial" w:eastAsia="Arial" w:hAnsi="Arial"/>
          <w:color w:val="404040"/>
          <w:sz w:val="20"/>
          <w:szCs w:val="20"/>
        </w:rPr>
        <w:t xml:space="preserve">Incorporate findings from vulnerability assessments, penetration tests, security audits, and incident reviews.</w:t>
      </w:r>
    </w:p>
    <w:p>
      <w:pPr>
        <w:pStyle w:val="ListParagraph"/>
        <w:numPr>
          <w:ilvl w:val="0"/>
          <w:numId w:val="2"/>
        </w:numPr>
        <w:spacing w:before="60" w:after="60"/>
      </w:pPr>
      <w:r>
        <w:rPr>
          <w:rFonts w:ascii="Arial" w:cs="Arial" w:eastAsia="Arial" w:hAnsi="Arial"/>
          <w:color w:val="404040"/>
          <w:sz w:val="20"/>
          <w:szCs w:val="20"/>
        </w:rPr>
        <w:t xml:space="preserve">Be reviewed by the IT Steering Committee monthly and reported to the Board IT Committee quarterly.</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10.2 IT Risk Reporting</w:t>
      </w:r>
    </w:p>
    <w:p>
      <w:pPr>
        <w:spacing w:before="80" w:after="80"/>
        <w:jc w:val="both"/>
      </w:pPr>
      <w:r>
        <w:rPr>
          <w:rFonts w:ascii="Arial" w:cs="Arial" w:eastAsia="Arial" w:hAnsi="Arial"/>
          <w:color w:val="404040"/>
          <w:sz w:val="20"/>
          <w:szCs w:val="20"/>
        </w:rPr>
        <w:t xml:space="preserve">IT risk reporting shall be structured to highlight systems, processes, or infrastructure with high risk exposure. Reports shall consider:</w:t>
      </w:r>
    </w:p>
    <w:p>
      <w:pPr>
        <w:pStyle w:val="ListParagraph"/>
        <w:numPr>
          <w:ilvl w:val="0"/>
          <w:numId w:val="2"/>
        </w:numPr>
        <w:spacing w:before="60" w:after="60"/>
      </w:pPr>
      <w:r>
        <w:rPr>
          <w:rFonts w:ascii="Arial" w:cs="Arial" w:eastAsia="Arial" w:hAnsi="Arial"/>
          <w:color w:val="404040"/>
          <w:sz w:val="20"/>
          <w:szCs w:val="20"/>
        </w:rPr>
        <w:t xml:space="preserve">Risk events and near-misses occurring during the reporting period.</w:t>
      </w:r>
    </w:p>
    <w:p>
      <w:pPr>
        <w:pStyle w:val="ListParagraph"/>
        <w:numPr>
          <w:ilvl w:val="0"/>
          <w:numId w:val="2"/>
        </w:numPr>
        <w:spacing w:before="60" w:after="60"/>
      </w:pPr>
      <w:r>
        <w:rPr>
          <w:rFonts w:ascii="Arial" w:cs="Arial" w:eastAsia="Arial" w:hAnsi="Arial"/>
          <w:color w:val="404040"/>
          <w:sz w:val="20"/>
          <w:szCs w:val="20"/>
        </w:rPr>
        <w:t xml:space="preserve">Regulatory requirements and SBP-specific risk indicators.</w:t>
      </w:r>
    </w:p>
    <w:p>
      <w:pPr>
        <w:pStyle w:val="ListParagraph"/>
        <w:numPr>
          <w:ilvl w:val="0"/>
          <w:numId w:val="2"/>
        </w:numPr>
        <w:spacing w:before="60" w:after="60"/>
      </w:pPr>
      <w:r>
        <w:rPr>
          <w:rFonts w:ascii="Arial" w:cs="Arial" w:eastAsia="Arial" w:hAnsi="Arial"/>
          <w:color w:val="404040"/>
          <w:sz w:val="20"/>
          <w:szCs w:val="20"/>
        </w:rPr>
        <w:t xml:space="preserve">Internal audit observations and external assessment findings.</w:t>
      </w:r>
    </w:p>
    <w:p>
      <w:pPr>
        <w:pStyle w:val="ListParagraph"/>
        <w:numPr>
          <w:ilvl w:val="0"/>
          <w:numId w:val="2"/>
        </w:numPr>
        <w:spacing w:before="60" w:after="60"/>
      </w:pPr>
      <w:r>
        <w:rPr>
          <w:rFonts w:ascii="Arial" w:cs="Arial" w:eastAsia="Arial" w:hAnsi="Arial"/>
          <w:color w:val="404040"/>
          <w:sz w:val="20"/>
          <w:szCs w:val="20"/>
        </w:rPr>
        <w:t xml:space="preserve">Changes in the threat landscape based on threat intelligence.</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10.3 Key Risk Indicators (KRIs)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1680"/>
        <w:gridCol w:w="1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Green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Amber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Critical patch compliance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critical patches applied within 30 days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&gt;95%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85-95%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Phishing simulation click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staff clicking simulated phishing emails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&gt;15%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MFA coverage — privileged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privileged users with MFA enabled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90-99%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Unresolved high-risk vulnerabilities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Number of unresolved high/critical vulnerabilities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&gt;3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Mean Time to Detect (MTTD)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Average hours to detect a security incident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&lt;4 hrs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4-24 hrs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&gt;24 hrs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Mean Time to Respond (MTTR)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Average hours to contain a security incident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&lt;8 hrs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8-48 hrs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&gt;48 hrs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Privileged access review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quarterly access reviews completed on time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90-99%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Security awareness training completion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staff completing mandatory annual training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&gt;95%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85-95%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&lt;85%</w:t>
            </w:r>
          </w:p>
        </w:tc>
      </w:tr>
    </w:tbl>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11. Threat Intelligence and Industry Collaboration</w:t>
      </w:r>
    </w:p>
    <w:p>
      <w:pPr>
        <w:spacing w:before="80" w:after="80"/>
        <w:jc w:val="both"/>
      </w:pPr>
      <w:r>
        <w:rPr>
          <w:rFonts w:ascii="Arial" w:cs="Arial" w:eastAsia="Arial" w:hAnsi="Arial"/>
          <w:color w:val="404040"/>
          <w:sz w:val="20"/>
          <w:szCs w:val="20"/>
        </w:rPr>
        <w:t xml:space="preserve">In accordance with SBP ETGRMF Section 2.9, the Bank shall:</w:t>
      </w:r>
    </w:p>
    <w:p>
      <w:pPr>
        <w:pStyle w:val="ListParagraph"/>
        <w:numPr>
          <w:ilvl w:val="0"/>
          <w:numId w:val="2"/>
        </w:numPr>
        <w:spacing w:before="60" w:after="60"/>
      </w:pPr>
      <w:r>
        <w:rPr>
          <w:rFonts w:ascii="Arial" w:cs="Arial" w:eastAsia="Arial" w:hAnsi="Arial"/>
          <w:color w:val="404040"/>
          <w:sz w:val="20"/>
          <w:szCs w:val="20"/>
        </w:rPr>
        <w:t xml:space="preserve">Gather and interpret information about relevant cyber threats arising from participants, service providers, utility providers, and other financial institutions in the Bank's ecosystem.</w:t>
      </w:r>
    </w:p>
    <w:p>
      <w:pPr>
        <w:pStyle w:val="ListParagraph"/>
        <w:numPr>
          <w:ilvl w:val="0"/>
          <w:numId w:val="2"/>
        </w:numPr>
        <w:spacing w:before="60" w:after="60"/>
      </w:pPr>
      <w:r>
        <w:rPr>
          <w:rFonts w:ascii="Arial" w:cs="Arial" w:eastAsia="Arial" w:hAnsi="Arial"/>
          <w:color w:val="404040"/>
          <w:sz w:val="20"/>
          <w:szCs w:val="20"/>
        </w:rPr>
        <w:t xml:space="preserve">Subscribe to relevant threat intelligence feeds and services (CERT-In, FS-ISAC, SBP cyber alerts, commercial threat intelligence services).</w:t>
      </w:r>
    </w:p>
    <w:p>
      <w:pPr>
        <w:pStyle w:val="ListParagraph"/>
        <w:numPr>
          <w:ilvl w:val="0"/>
          <w:numId w:val="2"/>
        </w:numPr>
        <w:spacing w:before="60" w:after="60"/>
      </w:pPr>
      <w:r>
        <w:rPr>
          <w:rFonts w:ascii="Arial" w:cs="Arial" w:eastAsia="Arial" w:hAnsi="Arial"/>
          <w:color w:val="404040"/>
          <w:sz w:val="20"/>
          <w:szCs w:val="20"/>
        </w:rPr>
        <w:t xml:space="preserve">Share cyber threat intelligence with relevant staff at strategic, tactical, and operational levels through secure channels.</w:t>
      </w:r>
    </w:p>
    <w:p>
      <w:pPr>
        <w:pStyle w:val="ListParagraph"/>
        <w:numPr>
          <w:ilvl w:val="0"/>
          <w:numId w:val="2"/>
        </w:numPr>
        <w:spacing w:before="60" w:after="60"/>
      </w:pPr>
      <w:r>
        <w:rPr>
          <w:rFonts w:ascii="Arial" w:cs="Arial" w:eastAsia="Arial" w:hAnsi="Arial"/>
          <w:color w:val="404040"/>
          <w:sz w:val="20"/>
          <w:szCs w:val="20"/>
        </w:rPr>
        <w:t xml:space="preserve">Participate in industry platforms for collecting and exchanging timely threat information to facilitate detection, response, and recovery following cyber incidents.</w:t>
      </w:r>
    </w:p>
    <w:p>
      <w:pPr>
        <w:pStyle w:val="ListParagraph"/>
        <w:numPr>
          <w:ilvl w:val="0"/>
          <w:numId w:val="2"/>
        </w:numPr>
        <w:spacing w:before="60" w:after="60"/>
      </w:pPr>
      <w:r>
        <w:rPr>
          <w:rFonts w:ascii="Arial" w:cs="Arial" w:eastAsia="Arial" w:hAnsi="Arial"/>
          <w:color w:val="404040"/>
          <w:sz w:val="20"/>
          <w:szCs w:val="20"/>
        </w:rPr>
        <w:t xml:space="preserve">Identify key lessons learned from cyber events within and outside the organization to improve resilience and prevention mechanisms.</w:t>
      </w:r>
    </w:p>
    <w:p>
      <w:pPr>
        <w:pStyle w:val="ListParagraph"/>
        <w:numPr>
          <w:ilvl w:val="0"/>
          <w:numId w:val="2"/>
        </w:numPr>
        <w:spacing w:before="60" w:after="60"/>
      </w:pPr>
      <w:r>
        <w:rPr>
          <w:rFonts w:ascii="Arial" w:cs="Arial" w:eastAsia="Arial" w:hAnsi="Arial"/>
          <w:color w:val="404040"/>
          <w:sz w:val="20"/>
          <w:szCs w:val="20"/>
        </w:rPr>
        <w:t xml:space="preserve">Monitor technological developments and keep abreast with new cyber risk management processes that can effectively counter existing and emerging cyber threats.</w:t>
      </w:r>
    </w:p>
    <w:p>
      <w:r>
        <w:br w:type="page"/>
      </w:r>
    </w:p>
    <w:p>
      <w:pPr>
        <w:pStyle w:val="Heading1"/>
        <w:pBdr>
          <w:bottom w:val="single" w:color="2E75B6" w:sz="6" w:space="1"/>
        </w:pBdr>
        <w:spacing w:before="320" w:after="160"/>
      </w:pPr>
      <w:r>
        <w:rPr>
          <w:rFonts w:ascii="Arial" w:cs="Arial" w:eastAsia="Arial" w:hAnsi="Arial"/>
          <w:b/>
          <w:bCs/>
          <w:color w:val="1F4E79"/>
          <w:sz w:val="30"/>
          <w:szCs w:val="30"/>
        </w:rPr>
        <w:t xml:space="preserve">12. Compliance and Policy Enforcement</w:t>
      </w:r>
    </w:p>
    <w:p>
      <w:pPr>
        <w:pStyle w:val="Heading2"/>
        <w:spacing w:before="240" w:after="100"/>
      </w:pPr>
      <w:r>
        <w:rPr>
          <w:rFonts w:ascii="Arial" w:cs="Arial" w:eastAsia="Arial" w:hAnsi="Arial"/>
          <w:b/>
          <w:bCs/>
          <w:color w:val="2E75B6"/>
          <w:sz w:val="24"/>
          <w:szCs w:val="24"/>
        </w:rPr>
        <w:t xml:space="preserve">12.1 Compliance Requirements</w:t>
      </w:r>
    </w:p>
    <w:p>
      <w:pPr>
        <w:spacing w:before="80" w:after="80"/>
        <w:jc w:val="both"/>
      </w:pPr>
      <w:r>
        <w:rPr>
          <w:rFonts w:ascii="Arial" w:cs="Arial" w:eastAsia="Arial" w:hAnsi="Arial"/>
          <w:color w:val="404040"/>
          <w:sz w:val="20"/>
          <w:szCs w:val="20"/>
        </w:rPr>
        <w:t xml:space="preserve">All employees, contractors, and third-party service providers within the scope of this Framework are required to comply with its provisions. Non-compliance shall be subject to disciplinary action as per the Bank's Human Resources policies, up to and including termination of employment or contract.</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12.2 Framework Review</w:t>
      </w:r>
    </w:p>
    <w:p>
      <w:pPr>
        <w:spacing w:before="80" w:after="80"/>
        <w:jc w:val="both"/>
      </w:pPr>
      <w:r>
        <w:rPr>
          <w:rFonts w:ascii="Arial" w:cs="Arial" w:eastAsia="Arial" w:hAnsi="Arial"/>
          <w:color w:val="404040"/>
          <w:sz w:val="20"/>
          <w:szCs w:val="20"/>
        </w:rPr>
        <w:t xml:space="preserve">This Framework shall be reviewed and updated at least every three (3) years, or more frequently upon:</w:t>
      </w:r>
    </w:p>
    <w:p>
      <w:pPr>
        <w:pStyle w:val="ListParagraph"/>
        <w:numPr>
          <w:ilvl w:val="0"/>
          <w:numId w:val="2"/>
        </w:numPr>
        <w:spacing w:before="60" w:after="60"/>
      </w:pPr>
      <w:r>
        <w:rPr>
          <w:rFonts w:ascii="Arial" w:cs="Arial" w:eastAsia="Arial" w:hAnsi="Arial"/>
          <w:color w:val="404040"/>
          <w:sz w:val="20"/>
          <w:szCs w:val="20"/>
        </w:rPr>
        <w:t xml:space="preserve">Major regulatory changes affecting information security requirements.</w:t>
      </w:r>
    </w:p>
    <w:p>
      <w:pPr>
        <w:pStyle w:val="ListParagraph"/>
        <w:numPr>
          <w:ilvl w:val="0"/>
          <w:numId w:val="2"/>
        </w:numPr>
        <w:spacing w:before="60" w:after="60"/>
      </w:pPr>
      <w:r>
        <w:rPr>
          <w:rFonts w:ascii="Arial" w:cs="Arial" w:eastAsia="Arial" w:hAnsi="Arial"/>
          <w:color w:val="404040"/>
          <w:sz w:val="20"/>
          <w:szCs w:val="20"/>
        </w:rPr>
        <w:t xml:space="preserve">Significant changes to the Bank's technology environment or risk profile.</w:t>
      </w:r>
    </w:p>
    <w:p>
      <w:pPr>
        <w:pStyle w:val="ListParagraph"/>
        <w:numPr>
          <w:ilvl w:val="0"/>
          <w:numId w:val="2"/>
        </w:numPr>
        <w:spacing w:before="60" w:after="60"/>
      </w:pPr>
      <w:r>
        <w:rPr>
          <w:rFonts w:ascii="Arial" w:cs="Arial" w:eastAsia="Arial" w:hAnsi="Arial"/>
          <w:color w:val="404040"/>
          <w:sz w:val="20"/>
          <w:szCs w:val="20"/>
        </w:rPr>
        <w:t xml:space="preserve">A material information security incident or breach.</w:t>
      </w:r>
    </w:p>
    <w:p>
      <w:pPr>
        <w:pStyle w:val="ListParagraph"/>
        <w:numPr>
          <w:ilvl w:val="0"/>
          <w:numId w:val="2"/>
        </w:numPr>
        <w:spacing w:before="60" w:after="60"/>
      </w:pPr>
      <w:r>
        <w:rPr>
          <w:rFonts w:ascii="Arial" w:cs="Arial" w:eastAsia="Arial" w:hAnsi="Arial"/>
          <w:color w:val="404040"/>
          <w:sz w:val="20"/>
          <w:szCs w:val="20"/>
        </w:rPr>
        <w:t xml:space="preserve">Findings from internal or external security audits recommending framework changes.</w:t>
      </w:r>
    </w:p>
    <w:p>
      <w:pPr>
        <w:spacing w:before="120" w:after="120"/>
      </w:pPr>
      <w:r>
        <w:t xml:space="preserve"/>
      </w:r>
    </w:p>
    <w:p>
      <w:pPr>
        <w:pStyle w:val="Heading2"/>
        <w:spacing w:before="240" w:after="100"/>
      </w:pPr>
      <w:r>
        <w:rPr>
          <w:rFonts w:ascii="Arial" w:cs="Arial" w:eastAsia="Arial" w:hAnsi="Arial"/>
          <w:b/>
          <w:bCs/>
          <w:color w:val="2E75B6"/>
          <w:sz w:val="24"/>
          <w:szCs w:val="24"/>
        </w:rPr>
        <w:t xml:space="preserve">12.3 Regulatory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BPRD Circular No. 05/2017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ETGRMF — Chapter 2: Information Security (primary regulatory 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ISO/IEC 27001:2022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Information Security Management Systems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NIST CSF v2.0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Cybersecurity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PCI DSS v4.0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Payment Card Industry Data Security Standard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SWIFT CSCF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Customer Security Controls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SBP PSD Circular No. 03/2015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Security breach reporting template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Prevention of Electronic Crimes Act 2016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Applicable cybercrime provisions</w:t>
            </w:r>
          </w:p>
        </w:tc>
      </w:tr>
    </w:tbl>
    <w:p>
      <w:pPr>
        <w:spacing w:before="240" w:after="240"/>
      </w:pPr>
      <w:r>
        <w:t xml:space="preserve"/>
      </w:r>
    </w:p>
    <w:p>
      <w:pPr>
        <w:pBdr>
          <w:top w:val="single" w:color="2E75B6" w:sz="8" w:space="4"/>
        </w:pBdr>
        <w:jc w:val="center"/>
      </w:pPr>
      <w:r>
        <w:rPr>
          <w:rFonts w:ascii="Arial" w:cs="Arial" w:eastAsia="Arial" w:hAnsi="Arial"/>
          <w:b/>
          <w:bCs/>
          <w:color w:val="1F4E79"/>
          <w:sz w:val="22"/>
          <w:szCs w:val="22"/>
        </w:rPr>
        <w:t xml:space="preserve">— END OF DOCUMENT —</w:t>
      </w:r>
    </w:p>
    <w:p>
      <w:pPr>
        <w:jc w:val="center"/>
      </w:pPr>
      <w:r>
        <w:rPr>
          <w:rFonts w:ascii="Arial" w:cs="Arial" w:eastAsia="Arial" w:hAnsi="Arial"/>
          <w:i/>
          <w:iCs/>
          <w:color w:val="404040"/>
          <w:sz w:val="18"/>
          <w:szCs w:val="18"/>
        </w:rPr>
        <w:t xml:space="preserve">This document is the property of [Bank Name] and is classified as CONFIDENTIAL.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6"/>
        <w:szCs w:val="16"/>
      </w:rPr>
      <w:t xml:space="preserve">IT-SEC-001 | v1.0 | Owner: CISO</w:t>
    </w:r>
    <w:r>
      <w:t xml:space="preserve">	</w:t>
    </w:r>
    <w:r>
      <w:rPr>
        <w:rFonts w:ascii="Arial" w:cs="Arial" w:eastAsia="Arial" w:hAnsi="Arial"/>
        <w:color w:val="40404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E79"/>
        <w:sz w:val="18"/>
        <w:szCs w:val="18"/>
      </w:rPr>
      <w:t xml:space="preserve">[Bank Name] | Information Security Management Framework</w:t>
    </w:r>
    <w:r>
      <w:t xml:space="preserve">	</w:t>
    </w:r>
    <w:r>
      <w:rPr>
        <w:rFonts w:ascii="Arial" w:cs="Arial" w:eastAsia="Arial" w:hAnsi="Arial"/>
        <w:b/>
        <w:bCs/>
        <w:color w:val="FF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2026-03-30T08:25:00.333Z</dcterms:created>
  <dcterms:modified xsi:type="dcterms:W3CDTF">2026-03-30T08:25:00.334Z</dcterms:modified>
</cp:coreProperties>
</file>

<file path=docProps/custom.xml><?xml version="1.0" encoding="utf-8"?>
<Properties xmlns="http://schemas.openxmlformats.org/officeDocument/2006/custom-properties" xmlns:vt="http://schemas.openxmlformats.org/officeDocument/2006/docPropsVTypes"/>
</file>