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6B1A1A" w:val="clear"/>
        <w:spacing w:after="0" w:before="0"/>
      </w:pPr>
      <w:r>
        <w:rPr>
          <w:rFonts w:ascii="Arial" w:cs="Arial" w:eastAsia="Arial" w:hAnsi="Arial"/>
          <w:b/>
          <w:bCs/>
          <w:color w:val="FFFFFF"/>
          <w:sz w:val="32"/>
          <w:szCs w:val="32"/>
        </w:rPr>
        <w:t xml:space="preserve">COMPLYVERSE  |  COMPENSATING CONTROLS DOCUMENTATION</w:t>
      </w:r>
    </w:p>
    <w:p>
      <w:pPr>
        <w:shd w:fill="6B1A1A" w:val="clear"/>
        <w:spacing w:after="280" w:before="60"/>
      </w:pPr>
      <w:r>
        <w:rPr>
          <w:rFonts w:ascii="Arial" w:cs="Arial" w:eastAsia="Arial" w:hAnsi="Arial"/>
          <w:color w:val="F0A8A8"/>
          <w:sz w:val="22"/>
          <w:szCs w:val="22"/>
        </w:rPr>
        <w:t xml:space="preserve">SoD Gaps &amp; Compensating Controls — ISO/IEC 27001:2022 Annex A.5.3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7"/>
                <w:szCs w:val="17"/>
              </w:rPr>
              <w:t xml:space="preserve">Document Ref</w:t>
            </w:r>
          </w:p>
          <w:p>
            <w:r>
              <w:rPr>
                <w:rFonts w:ascii="Arial" w:cs="Arial" w:eastAsia="Arial" w:hAnsi="Arial"/>
                <w:color w:val="1A1A1A"/>
                <w:sz w:val="19"/>
                <w:szCs w:val="19"/>
              </w:rPr>
              <w:t xml:space="preserve">CV-SOD-CCT-003</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7"/>
                <w:szCs w:val="17"/>
              </w:rPr>
              <w:t xml:space="preserve">Effective Date</w:t>
            </w:r>
          </w:p>
          <w:p>
            <w:r>
              <w:rPr>
                <w:rFonts w:ascii="Arial" w:cs="Arial" w:eastAsia="Arial" w:hAnsi="Arial"/>
                <w:color w:val="1A1A1A"/>
                <w:sz w:val="19"/>
                <w:szCs w:val="19"/>
              </w:rPr>
              <w:t xml:space="preserve">March 28, 2025</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7"/>
                <w:szCs w:val="17"/>
              </w:rPr>
              <w:t xml:space="preserve">ISO Control</w:t>
            </w:r>
          </w:p>
          <w:p>
            <w:r>
              <w:rPr>
                <w:rFonts w:ascii="Arial" w:cs="Arial" w:eastAsia="Arial" w:hAnsi="Arial"/>
                <w:color w:val="1A1A1A"/>
                <w:sz w:val="19"/>
                <w:szCs w:val="19"/>
              </w:rPr>
              <w:t xml:space="preserve">A.5.3 — Segregation of Duties</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7"/>
                <w:szCs w:val="17"/>
              </w:rPr>
              <w:t xml:space="preserve">Review Cycle</w:t>
            </w:r>
          </w:p>
          <w:p>
            <w:r>
              <w:rPr>
                <w:rFonts w:ascii="Arial" w:cs="Arial" w:eastAsia="Arial" w:hAnsi="Arial"/>
                <w:color w:val="1A1A1A"/>
                <w:sz w:val="19"/>
                <w:szCs w:val="19"/>
              </w:rPr>
              <w:t xml:space="preserve">Semi-Annual / On Gap Change</w:t>
            </w:r>
          </w:p>
        </w:tc>
      </w:tr>
    </w:tbl>
    <w:p>
      <w:pPr>
        <w:spacing w:after="200" w:before="0"/>
      </w:pPr>
      <w:r>
        <w:t xml:space="preserve"/>
      </w:r>
    </w:p>
    <w:p>
      <w:pPr>
        <w:spacing w:after="140" w:before="280"/>
      </w:pPr>
      <w:r>
        <w:rPr>
          <w:rFonts w:ascii="Arial" w:cs="Arial" w:eastAsia="Arial" w:hAnsi="Arial"/>
          <w:b/>
          <w:bCs/>
          <w:color w:val="6B1A1A"/>
          <w:sz w:val="24"/>
          <w:szCs w:val="24"/>
        </w:rPr>
        <w:t xml:space="preserve">1. PURPOSE</w:t>
      </w:r>
    </w:p>
    <w:p>
      <w:pPr>
        <w:pBdr>
          <w:bottom w:val="single" w:color="6B1A1A" w:sz="8" w:space="1"/>
        </w:pBdr>
        <w:spacing w:after="120" w:before="0"/>
      </w:pPr>
      <w:r>
        <w:t xml:space="preserve"/>
      </w:r>
    </w:p>
    <w:p>
      <w:pPr>
        <w:spacing w:after="100" w:before="80"/>
      </w:pPr>
      <w:r>
        <w:rPr>
          <w:rFonts w:ascii="Arial" w:cs="Arial" w:eastAsia="Arial" w:hAnsi="Arial"/>
          <w:color w:val="1A1A1A"/>
          <w:sz w:val="20"/>
          <w:szCs w:val="20"/>
        </w:rPr>
        <w:t xml:space="preserve">This document records all instances where full Segregation of Duties (SoD) cannot be achieved due to operational, staffing, or technical constraints. For each identified gap, this document describes the nature of the conflict, the business justification, the residual risk level, and the formal compensating controls implemented to reduce risk to an acceptable level.</w:t>
      </w:r>
    </w:p>
    <w:p>
      <w:pPr>
        <w:spacing w:after="80" w:before="0"/>
      </w:pPr>
      <w:r>
        <w:t xml:space="preserve"/>
      </w:r>
    </w:p>
    <w:p>
      <w:pPr>
        <w:spacing w:after="100" w:before="80"/>
      </w:pPr>
      <w:r>
        <w:rPr>
          <w:rFonts w:ascii="Arial" w:cs="Arial" w:eastAsia="Arial" w:hAnsi="Arial"/>
          <w:color w:val="1A1A1A"/>
          <w:sz w:val="20"/>
          <w:szCs w:val="20"/>
        </w:rPr>
        <w:t xml:space="preserve">These compensating controls have been reviewed, approved, and formally accepted by senior management. This document is maintained as part of the ISO/IEC 27001 Statement of Applicability evidence package and is reviewed semi-annually or whenever a new SoD gap is identified.</w:t>
      </w:r>
    </w:p>
    <w:p>
      <w:pPr>
        <w:spacing w:after="160" w:before="0"/>
      </w:pPr>
      <w:r>
        <w:t xml:space="preserve"/>
      </w:r>
    </w:p>
    <w:p>
      <w:pPr>
        <w:spacing w:after="140" w:before="280"/>
      </w:pPr>
      <w:r>
        <w:rPr>
          <w:rFonts w:ascii="Arial" w:cs="Arial" w:eastAsia="Arial" w:hAnsi="Arial"/>
          <w:b/>
          <w:bCs/>
          <w:color w:val="6B1A1A"/>
          <w:sz w:val="24"/>
          <w:szCs w:val="24"/>
        </w:rPr>
        <w:t xml:space="preserve">2. SoD EXCEPTION REGISTER SUMMARY</w:t>
      </w:r>
    </w:p>
    <w:p>
      <w:pPr>
        <w:pBdr>
          <w:bottom w:val="single" w:color="6B1A1A"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800"/>
        <w:gridCol w:w="1960"/>
      </w:tblGrid>
      <w:tr>
        <w:tc>
          <w:tcPr>
            <w:tcW w:type="dxa" w:w="1000"/>
            <w:tcBorders>
              <w:top w:val="single" w:color="6B1A1A" w:sz="6"/>
              <w:left w:val="single" w:color="6B1A1A" w:sz="6"/>
              <w:bottom w:val="single" w:color="6B1A1A" w:sz="6"/>
              <w:right w:val="single" w:color="6B1A1A" w:sz="6"/>
            </w:tcBorders>
            <w:shd w:fill="6B1A1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3200"/>
            <w:tcBorders>
              <w:top w:val="single" w:color="6B1A1A" w:sz="6"/>
              <w:left w:val="single" w:color="6B1A1A" w:sz="6"/>
              <w:bottom w:val="single" w:color="6B1A1A" w:sz="6"/>
              <w:right w:val="single" w:color="6B1A1A" w:sz="6"/>
            </w:tcBorders>
            <w:shd w:fill="6B1A1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Gap Description</w:t>
            </w:r>
          </w:p>
        </w:tc>
        <w:tc>
          <w:tcPr>
            <w:tcW w:type="dxa" w:w="1400"/>
            <w:tcBorders>
              <w:top w:val="single" w:color="6B1A1A" w:sz="6"/>
              <w:left w:val="single" w:color="6B1A1A" w:sz="6"/>
              <w:bottom w:val="single" w:color="6B1A1A" w:sz="6"/>
              <w:right w:val="single" w:color="6B1A1A" w:sz="6"/>
            </w:tcBorders>
            <w:shd w:fill="6B1A1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Risk Level</w:t>
            </w:r>
          </w:p>
        </w:tc>
        <w:tc>
          <w:tcPr>
            <w:tcW w:type="dxa" w:w="1800"/>
            <w:tcBorders>
              <w:top w:val="single" w:color="6B1A1A" w:sz="6"/>
              <w:left w:val="single" w:color="6B1A1A" w:sz="6"/>
              <w:bottom w:val="single" w:color="6B1A1A" w:sz="6"/>
              <w:right w:val="single" w:color="6B1A1A" w:sz="6"/>
            </w:tcBorders>
            <w:shd w:fill="6B1A1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Owner</w:t>
            </w:r>
          </w:p>
        </w:tc>
        <w:tc>
          <w:tcPr>
            <w:tcW w:type="dxa" w:w="1960"/>
            <w:tcBorders>
              <w:top w:val="single" w:color="6B1A1A" w:sz="6"/>
              <w:left w:val="single" w:color="6B1A1A" w:sz="6"/>
              <w:bottom w:val="single" w:color="6B1A1A" w:sz="6"/>
              <w:right w:val="single" w:color="6B1A1A" w:sz="6"/>
            </w:tcBorders>
            <w:shd w:fill="6B1A1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Status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6B1A1A"/>
                <w:sz w:val="18"/>
                <w:szCs w:val="18"/>
              </w:rPr>
              <w:t xml:space="preserve">CCT-001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Financial Transaction Initiation &amp; Approval — Same Individual</w:t>
            </w:r>
          </w:p>
        </w:tc>
        <w:tc>
          <w:tcPr>
            <w:tcW w:type="dxa" w:w="1400"/>
            <w:tcBorders>
              <w:top w:val="single" w:color="CCCCCC" w:sz="4"/>
              <w:left w:val="single" w:color="CCCCCC" w:sz="4"/>
              <w:bottom w:val="single" w:color="CCCCCC" w:sz="4"/>
              <w:right w:val="single" w:color="CCCCCC" w:sz="4"/>
            </w:tcBorders>
            <w:shd w:fill="F5C6C6" w:val="clear"/>
            <w:tcMar>
              <w:top w:type="dxa" w:w="80"/>
              <w:left w:type="dxa" w:w="130"/>
              <w:bottom w:type="dxa" w:w="80"/>
              <w:right w:type="dxa" w:w="130"/>
            </w:tcMar>
            <w:vAlign w:val="center"/>
          </w:tcPr>
          <w:p>
            <w:pPr>
              <w:jc w:val="center"/>
            </w:pPr>
            <w:r>
              <w:rPr>
                <w:rFonts w:ascii="Arial" w:cs="Arial" w:eastAsia="Arial" w:hAnsi="Arial"/>
                <w:b/>
                <w:bCs/>
                <w:color w:val="C0392B"/>
                <w:sz w:val="17"/>
                <w:szCs w:val="17"/>
              </w:rPr>
              <w:t xml:space="preserve">HIGH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Chief Financial Officer</w:t>
            </w:r>
          </w:p>
        </w:tc>
        <w:tc>
          <w:tcPr>
            <w:tcW w:type="dxa" w:w="19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6"/>
                <w:szCs w:val="16"/>
              </w:rPr>
              <w:t xml:space="preserve">ACCEPTED</w:t>
            </w:r>
          </w:p>
        </w:tc>
      </w:tr>
      <w:tr>
        <w:tc>
          <w:tcPr>
            <w:tcW w:type="dxa" w:w="1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center"/>
            </w:pPr>
            <w:r>
              <w:rPr>
                <w:rFonts w:ascii="Arial" w:cs="Arial" w:eastAsia="Arial" w:hAnsi="Arial"/>
                <w:b/>
                <w:bCs/>
                <w:color w:val="6B1A1A"/>
                <w:sz w:val="18"/>
                <w:szCs w:val="18"/>
              </w:rPr>
              <w:t xml:space="preserve">CCT-002</w:t>
            </w:r>
          </w:p>
        </w:tc>
        <w:tc>
          <w:tcPr>
            <w:tcW w:type="dxa" w:w="3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System Administrator &amp; Firewall Rule Change — Combination in Small DC Team</w:t>
            </w:r>
          </w:p>
        </w:tc>
        <w:tc>
          <w:tcPr>
            <w:tcW w:type="dxa" w:w="1400"/>
            <w:tcBorders>
              <w:top w:val="single" w:color="CCCCCC" w:sz="4"/>
              <w:left w:val="single" w:color="CCCCCC" w:sz="4"/>
              <w:bottom w:val="single" w:color="CCCCCC" w:sz="4"/>
              <w:right w:val="single" w:color="CCCCCC" w:sz="4"/>
            </w:tcBorders>
            <w:shd w:fill="FFF3CD" w:val="clear"/>
            <w:tcMar>
              <w:top w:type="dxa" w:w="80"/>
              <w:left w:type="dxa" w:w="130"/>
              <w:bottom w:type="dxa" w:w="80"/>
              <w:right w:type="dxa" w:w="130"/>
            </w:tcMar>
            <w:vAlign w:val="center"/>
          </w:tcPr>
          <w:p>
            <w:pPr>
              <w:jc w:val="center"/>
            </w:pPr>
            <w:r>
              <w:rPr>
                <w:rFonts w:ascii="Arial" w:cs="Arial" w:eastAsia="Arial" w:hAnsi="Arial"/>
                <w:b/>
                <w:bCs/>
                <w:color w:val="D4860A"/>
                <w:sz w:val="17"/>
                <w:szCs w:val="17"/>
              </w:rPr>
              <w:t xml:space="preserve">MEDIUM</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Head of Network Operations</w:t>
            </w:r>
          </w:p>
        </w:tc>
        <w:tc>
          <w:tcPr>
            <w:tcW w:type="dxa" w:w="19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6"/>
                <w:szCs w:val="16"/>
              </w:rPr>
              <w:t xml:space="preserve">ACCEPTED</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6B1A1A"/>
                <w:sz w:val="18"/>
                <w:szCs w:val="18"/>
              </w:rPr>
              <w:t xml:space="preserve">CCT-003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Backup &amp; Recovery Execution by System Administrator</w:t>
            </w:r>
          </w:p>
        </w:tc>
        <w:tc>
          <w:tcPr>
            <w:tcW w:type="dxa" w:w="1400"/>
            <w:tcBorders>
              <w:top w:val="single" w:color="CCCCCC" w:sz="4"/>
              <w:left w:val="single" w:color="CCCCCC" w:sz="4"/>
              <w:bottom w:val="single" w:color="CCCCCC" w:sz="4"/>
              <w:right w:val="single" w:color="CCCCCC" w:sz="4"/>
            </w:tcBorders>
            <w:shd w:fill="FFF3CD" w:val="clear"/>
            <w:tcMar>
              <w:top w:type="dxa" w:w="80"/>
              <w:left w:type="dxa" w:w="130"/>
              <w:bottom w:type="dxa" w:w="80"/>
              <w:right w:type="dxa" w:w="130"/>
            </w:tcMar>
            <w:vAlign w:val="center"/>
          </w:tcPr>
          <w:p>
            <w:pPr>
              <w:jc w:val="center"/>
            </w:pPr>
            <w:r>
              <w:rPr>
                <w:rFonts w:ascii="Arial" w:cs="Arial" w:eastAsia="Arial" w:hAnsi="Arial"/>
                <w:b/>
                <w:bCs/>
                <w:color w:val="D4860A"/>
                <w:sz w:val="17"/>
                <w:szCs w:val="17"/>
              </w:rPr>
              <w:t xml:space="preserve">MEDIUM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Head of IT Operations</w:t>
            </w:r>
          </w:p>
        </w:tc>
        <w:tc>
          <w:tcPr>
            <w:tcW w:type="dxa" w:w="19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6"/>
                <w:szCs w:val="16"/>
              </w:rPr>
              <w:t xml:space="preserve">ACCEPTED</w:t>
            </w:r>
          </w:p>
        </w:tc>
      </w:tr>
      <w:tr>
        <w:tc>
          <w:tcPr>
            <w:tcW w:type="dxa" w:w="1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center"/>
            </w:pPr>
            <w:r>
              <w:rPr>
                <w:rFonts w:ascii="Arial" w:cs="Arial" w:eastAsia="Arial" w:hAnsi="Arial"/>
                <w:b/>
                <w:bCs/>
                <w:color w:val="6B1A1A"/>
                <w:sz w:val="18"/>
                <w:szCs w:val="18"/>
              </w:rPr>
              <w:t xml:space="preserve">CCT-004</w:t>
            </w:r>
          </w:p>
        </w:tc>
        <w:tc>
          <w:tcPr>
            <w:tcW w:type="dxa" w:w="3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Audit Log Review by Security Officer (Who Also Configures Security Tools)</w:t>
            </w:r>
          </w:p>
        </w:tc>
        <w:tc>
          <w:tcPr>
            <w:tcW w:type="dxa" w:w="14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LOW-MED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Chief Information Security Officer</w:t>
            </w:r>
          </w:p>
        </w:tc>
        <w:tc>
          <w:tcPr>
            <w:tcW w:type="dxa" w:w="19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6"/>
                <w:szCs w:val="16"/>
              </w:rPr>
              <w:t xml:space="preserve">ACCEPTED</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6B1A1A"/>
                <w:sz w:val="18"/>
                <w:szCs w:val="18"/>
              </w:rPr>
              <w:t xml:space="preserve">CCT-005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Financial Manager Partial Access to Financial Transaction Initiation &amp; Approval (SAP Warning)</w:t>
            </w:r>
          </w:p>
        </w:tc>
        <w:tc>
          <w:tcPr>
            <w:tcW w:type="dxa" w:w="14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LOW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Finance Controller</w:t>
            </w:r>
          </w:p>
        </w:tc>
        <w:tc>
          <w:tcPr>
            <w:tcW w:type="dxa" w:w="1960"/>
            <w:tcBorders>
              <w:top w:val="single" w:color="CCCCCC" w:sz="4"/>
              <w:left w:val="single" w:color="CCCCCC" w:sz="4"/>
              <w:bottom w:val="single" w:color="CCCCCC" w:sz="4"/>
              <w:right w:val="single" w:color="CCCCCC" w:sz="4"/>
            </w:tcBorders>
            <w:shd w:fill="FFF3CD" w:val="clear"/>
            <w:tcMar>
              <w:top w:type="dxa" w:w="80"/>
              <w:left w:type="dxa" w:w="130"/>
              <w:bottom w:type="dxa" w:w="80"/>
              <w:right w:type="dxa" w:w="130"/>
            </w:tcMar>
            <w:vAlign w:val="center"/>
          </w:tcPr>
          <w:p>
            <w:pPr>
              <w:jc w:val="center"/>
            </w:pPr>
            <w:r>
              <w:rPr>
                <w:rFonts w:ascii="Arial" w:cs="Arial" w:eastAsia="Arial" w:hAnsi="Arial"/>
                <w:b/>
                <w:bCs/>
                <w:color w:val="D4860A"/>
                <w:sz w:val="16"/>
                <w:szCs w:val="16"/>
              </w:rPr>
              <w:t xml:space="preserve">ACCEPTED — MONITOR</w:t>
            </w:r>
          </w:p>
        </w:tc>
      </w:tr>
    </w:tbl>
    <w:p>
      <w:pPr>
        <w:spacing w:after="200" w:before="0"/>
      </w:pPr>
      <w:r>
        <w:t xml:space="preserve"/>
      </w:r>
    </w:p>
    <w:p>
      <w:pPr>
        <w:spacing w:after="140" w:before="280"/>
      </w:pPr>
      <w:r>
        <w:rPr>
          <w:rFonts w:ascii="Arial" w:cs="Arial" w:eastAsia="Arial" w:hAnsi="Arial"/>
          <w:b/>
          <w:bCs/>
          <w:color w:val="6B1A1A"/>
          <w:sz w:val="24"/>
          <w:szCs w:val="24"/>
        </w:rPr>
        <w:t xml:space="preserve">3. DETAILED COMPENSATING CONTROL RECORDS</w:t>
      </w:r>
    </w:p>
    <w:p>
      <w:pPr>
        <w:pBdr>
          <w:bottom w:val="single" w:color="6B1A1A" w:sz="8" w:space="1"/>
        </w:pBdr>
        <w:spacing w:after="120" w:before="0"/>
      </w:pPr>
      <w:r>
        <w:t xml:space="preserve"/>
      </w:r>
    </w:p>
    <w:p>
      <w:pPr>
        <w:spacing w:after="160" w:before="0"/>
      </w:pPr>
      <w:r>
        <w:t xml:space="preserve"/>
      </w:r>
    </w:p>
    <w:p>
      <w:pPr>
        <w:pBdr>
          <w:left w:val="single" w:color="6B1A1A" w:sz="20" w:space="1"/>
        </w:pBdr>
        <w:shd w:fill="F8D6D6" w:val="clear"/>
        <w:spacing w:after="100" w:before="180"/>
      </w:pPr>
      <w:r>
        <w:rPr>
          <w:rFonts w:ascii="Arial" w:cs="Arial" w:eastAsia="Arial" w:hAnsi="Arial"/>
          <w:b/>
          <w:bCs/>
          <w:color w:val="6B1A1A"/>
          <w:sz w:val="21"/>
          <w:szCs w:val="21"/>
        </w:rPr>
        <w:t xml:space="preserve">  CCT-001  —  Financial Transaction Initiation &amp; Approval — Same Individual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SoD Gap ID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CCT-001</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Gap Description</w:t>
            </w:r>
          </w:p>
        </w:tc>
        <w:tc>
          <w:tcPr>
            <w:tcW w:type="dxa" w:w="69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Financial Transaction Initiation &amp; Approval — Same Individual</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Business Justification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The Treasury team has only two staff members. During leave or absence of one member, the remaining member must both initiate and approve inter-bank transfers to meet SBP settlement deadlines.</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Residual Risk Level</w:t>
            </w:r>
          </w:p>
        </w:tc>
        <w:tc>
          <w:tcPr>
            <w:tcW w:type="dxa" w:w="6960"/>
            <w:tcBorders>
              <w:top w:val="single" w:color="CCCCCC" w:sz="4"/>
              <w:left w:val="single" w:color="CCCCCC" w:sz="4"/>
              <w:bottom w:val="single" w:color="CCCCCC" w:sz="4"/>
              <w:right w:val="single" w:color="CCCCCC" w:sz="4"/>
            </w:tcBorders>
            <w:shd w:fill="F5C6C6" w:val="clear"/>
            <w:tcMar>
              <w:top w:type="dxa" w:w="80"/>
              <w:left w:type="dxa" w:w="130"/>
              <w:bottom w:type="dxa" w:w="80"/>
              <w:right w:type="dxa" w:w="130"/>
            </w:tcMar>
          </w:tcPr>
          <w:p>
            <w:r>
              <w:rPr>
                <w:rFonts w:ascii="Arial" w:cs="Arial" w:eastAsia="Arial" w:hAnsi="Arial"/>
                <w:b/>
                <w:bCs/>
                <w:color w:val="C0392B"/>
                <w:sz w:val="18"/>
                <w:szCs w:val="18"/>
              </w:rPr>
              <w:t xml:space="preserve">HIGH  —  High — risk of unauthorised or erroneous financial transfers without independent oversight.</w:t>
            </w:r>
          </w:p>
        </w:tc>
      </w:tr>
    </w:tbl>
    <w:p>
      <w:pPr>
        <w:spacing w:after="120" w:before="0"/>
      </w:pPr>
      <w:r>
        <w:t xml:space="preserve"/>
      </w:r>
    </w:p>
    <w:p>
      <w:pPr>
        <w:spacing w:after="80" w:before="100"/>
      </w:pPr>
      <w:r>
        <w:rPr>
          <w:rFonts w:ascii="Arial" w:cs="Arial" w:eastAsia="Arial" w:hAnsi="Arial"/>
          <w:b/>
          <w:bCs/>
          <w:color w:val="6B1A1A"/>
          <w:sz w:val="21"/>
          <w:szCs w:val="21"/>
        </w:rPr>
        <w:t xml:space="preserve">Compensating Controls Implemented:</w:t>
      </w:r>
    </w:p>
    <w:p>
      <w:pPr>
        <w:spacing w:after="60" w:before="60"/>
        <w:ind w:left="720"/>
      </w:pPr>
      <w:r>
        <w:rPr>
          <w:rFonts w:ascii="Arial" w:cs="Arial" w:eastAsia="Arial" w:hAnsi="Arial"/>
          <w:color w:val="1A1A1A"/>
          <w:sz w:val="20"/>
          <w:szCs w:val="20"/>
        </w:rPr>
        <w:t xml:space="preserve">1.  All transactions processed under this exception are limited to PKR 5,000,000 maximum per transaction.</w:t>
      </w:r>
    </w:p>
    <w:p>
      <w:pPr>
        <w:spacing w:after="60" w:before="60"/>
        <w:ind w:left="720"/>
      </w:pPr>
      <w:r>
        <w:rPr>
          <w:rFonts w:ascii="Arial" w:cs="Arial" w:eastAsia="Arial" w:hAnsi="Arial"/>
          <w:color w:val="1A1A1A"/>
          <w:sz w:val="20"/>
          <w:szCs w:val="20"/>
        </w:rPr>
        <w:t xml:space="preserve">2.  CEO or CFO email approval is obtained before each transaction is processed (documented in email audit trail).</w:t>
      </w:r>
    </w:p>
    <w:p>
      <w:pPr>
        <w:spacing w:after="60" w:before="60"/>
        <w:ind w:left="720"/>
      </w:pPr>
      <w:r>
        <w:rPr>
          <w:rFonts w:ascii="Arial" w:cs="Arial" w:eastAsia="Arial" w:hAnsi="Arial"/>
          <w:color w:val="1A1A1A"/>
          <w:sz w:val="20"/>
          <w:szCs w:val="20"/>
        </w:rPr>
        <w:t xml:space="preserve">3.  Post-transaction review performed by Finance Controller within 24 hours of transaction execution.</w:t>
      </w:r>
    </w:p>
    <w:p>
      <w:pPr>
        <w:spacing w:after="60" w:before="60"/>
        <w:ind w:left="720"/>
      </w:pPr>
      <w:r>
        <w:rPr>
          <w:rFonts w:ascii="Arial" w:cs="Arial" w:eastAsia="Arial" w:hAnsi="Arial"/>
          <w:color w:val="1A1A1A"/>
          <w:sz w:val="20"/>
          <w:szCs w:val="20"/>
        </w:rPr>
        <w:t xml:space="preserve">4.  SIEM alert raised for every instance; reviewed by CISO same-day.</w:t>
      </w:r>
    </w:p>
    <w:p>
      <w:pPr>
        <w:spacing w:after="60" w:before="60"/>
        <w:ind w:left="720"/>
      </w:pPr>
      <w:r>
        <w:rPr>
          <w:rFonts w:ascii="Arial" w:cs="Arial" w:eastAsia="Arial" w:hAnsi="Arial"/>
          <w:color w:val="1A1A1A"/>
          <w:sz w:val="20"/>
          <w:szCs w:val="20"/>
        </w:rPr>
        <w:t xml:space="preserve">5.  Complete transaction log exported from banking system and attached to the monthly SoD exception register.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Control Owner</w:t>
            </w:r>
          </w:p>
          <w:p>
            <w:r>
              <w:rPr>
                <w:rFonts w:ascii="Arial" w:cs="Arial" w:eastAsia="Arial" w:hAnsi="Arial"/>
                <w:color w:val="1A1A1A"/>
                <w:sz w:val="17"/>
                <w:szCs w:val="17"/>
              </w:rPr>
              <w:t xml:space="preserve">Chief Financial Officer — Ms. Sana Tariq</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Approver</w:t>
            </w:r>
          </w:p>
          <w:p>
            <w:r>
              <w:rPr>
                <w:rFonts w:ascii="Arial" w:cs="Arial" w:eastAsia="Arial" w:hAnsi="Arial"/>
                <w:color w:val="1A1A1A"/>
                <w:sz w:val="17"/>
                <w:szCs w:val="17"/>
              </w:rPr>
              <w:t xml:space="preserve">CEO — Mr. Raza Khan</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Review Date</w:t>
            </w:r>
          </w:p>
          <w:p>
            <w:r>
              <w:rPr>
                <w:rFonts w:ascii="Arial" w:cs="Arial" w:eastAsia="Arial" w:hAnsi="Arial"/>
                <w:color w:val="1A1A1A"/>
                <w:sz w:val="17"/>
                <w:szCs w:val="17"/>
              </w:rPr>
              <w:t xml:space="preserve">March 28, 2025</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Next Review</w:t>
            </w:r>
          </w:p>
          <w:p>
            <w:r>
              <w:rPr>
                <w:rFonts w:ascii="Arial" w:cs="Arial" w:eastAsia="Arial" w:hAnsi="Arial"/>
                <w:color w:val="1A1A1A"/>
                <w:sz w:val="17"/>
                <w:szCs w:val="17"/>
              </w:rPr>
              <w:t xml:space="preserve">September 28, 2025</w:t>
            </w:r>
          </w:p>
        </w:tc>
      </w:tr>
    </w:tbl>
    <w:p>
      <w:pPr>
        <w:spacing w:after="80" w:before="0"/>
      </w:pPr>
      <w:r>
        <w:t xml:space="preserve"/>
      </w:r>
    </w:p>
    <w:p>
      <w:pPr>
        <w:spacing w:after="160" w:before="0"/>
      </w:pPr>
      <w:r>
        <w:t xml:space="preserve"/>
      </w:r>
    </w:p>
    <w:p>
      <w:pPr>
        <w:pBdr>
          <w:left w:val="single" w:color="6B1A1A" w:sz="20" w:space="1"/>
        </w:pBdr>
        <w:shd w:fill="F8D6D6" w:val="clear"/>
        <w:spacing w:after="100" w:before="180"/>
      </w:pPr>
      <w:r>
        <w:rPr>
          <w:rFonts w:ascii="Arial" w:cs="Arial" w:eastAsia="Arial" w:hAnsi="Arial"/>
          <w:b/>
          <w:bCs/>
          <w:color w:val="6B1A1A"/>
          <w:sz w:val="21"/>
          <w:szCs w:val="21"/>
        </w:rPr>
        <w:t xml:space="preserve">  CCT-002  —  System Administrator &amp; Firewall Rule Change — Combination in Small DC Team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SoD Gap ID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CCT-002</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Gap Description</w:t>
            </w:r>
          </w:p>
        </w:tc>
        <w:tc>
          <w:tcPr>
            <w:tcW w:type="dxa" w:w="69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System Administrator &amp; Firewall Rule Change — Combination in Small DC Team</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Business Justification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The network operations team at the secondary data centre consists of a single Network Engineer. During off-hours emergencies, this individual may need to perform both system administration and firewall changes without a second person available on-site.</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Residual Risk Level</w:t>
            </w:r>
          </w:p>
        </w:tc>
        <w:tc>
          <w:tcPr>
            <w:tcW w:type="dxa" w:w="6960"/>
            <w:tcBorders>
              <w:top w:val="single" w:color="CCCCCC" w:sz="4"/>
              <w:left w:val="single" w:color="CCCCCC" w:sz="4"/>
              <w:bottom w:val="single" w:color="CCCCCC" w:sz="4"/>
              <w:right w:val="single" w:color="CCCCCC" w:sz="4"/>
            </w:tcBorders>
            <w:shd w:fill="FFF3CD" w:val="clear"/>
            <w:tcMar>
              <w:top w:type="dxa" w:w="80"/>
              <w:left w:type="dxa" w:w="130"/>
              <w:bottom w:type="dxa" w:w="80"/>
              <w:right w:type="dxa" w:w="130"/>
            </w:tcMar>
          </w:tcPr>
          <w:p>
            <w:r>
              <w:rPr>
                <w:rFonts w:ascii="Arial" w:cs="Arial" w:eastAsia="Arial" w:hAnsi="Arial"/>
                <w:b/>
                <w:bCs/>
                <w:color w:val="D4860A"/>
                <w:sz w:val="18"/>
                <w:szCs w:val="18"/>
              </w:rPr>
              <w:t xml:space="preserve">MEDIUM  —  Medium — risk of unauthorised network access changes or configuration errors without peer review.</w:t>
            </w:r>
          </w:p>
        </w:tc>
      </w:tr>
    </w:tbl>
    <w:p>
      <w:pPr>
        <w:spacing w:after="120" w:before="0"/>
      </w:pPr>
      <w:r>
        <w:t xml:space="preserve"/>
      </w:r>
    </w:p>
    <w:p>
      <w:pPr>
        <w:spacing w:after="80" w:before="100"/>
      </w:pPr>
      <w:r>
        <w:rPr>
          <w:rFonts w:ascii="Arial" w:cs="Arial" w:eastAsia="Arial" w:hAnsi="Arial"/>
          <w:b/>
          <w:bCs/>
          <w:color w:val="6B1A1A"/>
          <w:sz w:val="21"/>
          <w:szCs w:val="21"/>
        </w:rPr>
        <w:t xml:space="preserve">Compensating Controls Implemented:</w:t>
      </w:r>
    </w:p>
    <w:p>
      <w:pPr>
        <w:spacing w:after="60" w:before="60"/>
        <w:ind w:left="720"/>
      </w:pPr>
      <w:r>
        <w:rPr>
          <w:rFonts w:ascii="Arial" w:cs="Arial" w:eastAsia="Arial" w:hAnsi="Arial"/>
          <w:color w:val="1A1A1A"/>
          <w:sz w:val="20"/>
          <w:szCs w:val="20"/>
        </w:rPr>
        <w:t xml:space="preserve">1.  All firewall rule changes (even emergency) require submission of a change request ticket in ServiceNow before implementation.</w:t>
      </w:r>
    </w:p>
    <w:p>
      <w:pPr>
        <w:spacing w:after="60" w:before="60"/>
        <w:ind w:left="720"/>
      </w:pPr>
      <w:r>
        <w:rPr>
          <w:rFonts w:ascii="Arial" w:cs="Arial" w:eastAsia="Arial" w:hAnsi="Arial"/>
          <w:color w:val="1A1A1A"/>
          <w:sz w:val="20"/>
          <w:szCs w:val="20"/>
        </w:rPr>
        <w:t xml:space="preserve">2.  Post-implementation review by CISO or Security Officer within 2 hours of the change, with revert authority if not approved.</w:t>
      </w:r>
    </w:p>
    <w:p>
      <w:pPr>
        <w:spacing w:after="60" w:before="60"/>
        <w:ind w:left="720"/>
      </w:pPr>
      <w:r>
        <w:rPr>
          <w:rFonts w:ascii="Arial" w:cs="Arial" w:eastAsia="Arial" w:hAnsi="Arial"/>
          <w:color w:val="1A1A1A"/>
          <w:sz w:val="20"/>
          <w:szCs w:val="20"/>
        </w:rPr>
        <w:t xml:space="preserve">3.  Firewall change logs collected by Sentinel in real-time; alert sent to CISO immediately on any rule modification.</w:t>
      </w:r>
    </w:p>
    <w:p>
      <w:pPr>
        <w:spacing w:after="60" w:before="60"/>
        <w:ind w:left="720"/>
      </w:pPr>
      <w:r>
        <w:rPr>
          <w:rFonts w:ascii="Arial" w:cs="Arial" w:eastAsia="Arial" w:hAnsi="Arial"/>
          <w:color w:val="1A1A1A"/>
          <w:sz w:val="20"/>
          <w:szCs w:val="20"/>
        </w:rPr>
        <w:t xml:space="preserve">4.  Monthly independent audit of all firewall rules by IT Auditor against the approved baseline configuration.</w:t>
      </w:r>
    </w:p>
    <w:p>
      <w:pPr>
        <w:spacing w:after="60" w:before="60"/>
        <w:ind w:left="720"/>
      </w:pPr>
      <w:r>
        <w:rPr>
          <w:rFonts w:ascii="Arial" w:cs="Arial" w:eastAsia="Arial" w:hAnsi="Arial"/>
          <w:color w:val="1A1A1A"/>
          <w:sz w:val="20"/>
          <w:szCs w:val="20"/>
        </w:rPr>
        <w:t xml:space="preserve">5.  Quarterly third-party firewall configuration review by external security firm.</w:t>
      </w:r>
    </w:p>
    <w:p>
      <w:pPr>
        <w:spacing w:after="60" w:before="60"/>
        <w:ind w:left="720"/>
      </w:pPr>
      <w:r>
        <w:rPr>
          <w:rFonts w:ascii="Arial" w:cs="Arial" w:eastAsia="Arial" w:hAnsi="Arial"/>
          <w:color w:val="1A1A1A"/>
          <w:sz w:val="20"/>
          <w:szCs w:val="20"/>
        </w:rPr>
        <w:t xml:space="preserve">6.  Remote access to the secondary DC is restricted; physical access logged via biometric entry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Control Owner</w:t>
            </w:r>
          </w:p>
          <w:p>
            <w:r>
              <w:rPr>
                <w:rFonts w:ascii="Arial" w:cs="Arial" w:eastAsia="Arial" w:hAnsi="Arial"/>
                <w:color w:val="1A1A1A"/>
                <w:sz w:val="17"/>
                <w:szCs w:val="17"/>
              </w:rPr>
              <w:t xml:space="preserve">Head of Network Operations — Ms. Hina Shah</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Approver</w:t>
            </w:r>
          </w:p>
          <w:p>
            <w:r>
              <w:rPr>
                <w:rFonts w:ascii="Arial" w:cs="Arial" w:eastAsia="Arial" w:hAnsi="Arial"/>
                <w:color w:val="1A1A1A"/>
                <w:sz w:val="17"/>
                <w:szCs w:val="17"/>
              </w:rPr>
              <w:t xml:space="preserve">Chief Information Security Officer — Mr. Imran Ali</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Review Date</w:t>
            </w:r>
          </w:p>
          <w:p>
            <w:r>
              <w:rPr>
                <w:rFonts w:ascii="Arial" w:cs="Arial" w:eastAsia="Arial" w:hAnsi="Arial"/>
                <w:color w:val="1A1A1A"/>
                <w:sz w:val="17"/>
                <w:szCs w:val="17"/>
              </w:rPr>
              <w:t xml:space="preserve">March 28, 2025</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Next Review</w:t>
            </w:r>
          </w:p>
          <w:p>
            <w:r>
              <w:rPr>
                <w:rFonts w:ascii="Arial" w:cs="Arial" w:eastAsia="Arial" w:hAnsi="Arial"/>
                <w:color w:val="1A1A1A"/>
                <w:sz w:val="17"/>
                <w:szCs w:val="17"/>
              </w:rPr>
              <w:t xml:space="preserve">September 28, 2025</w:t>
            </w:r>
          </w:p>
        </w:tc>
      </w:tr>
    </w:tbl>
    <w:p>
      <w:pPr>
        <w:spacing w:after="80" w:before="0"/>
      </w:pPr>
      <w:r>
        <w:t xml:space="preserve"/>
      </w:r>
    </w:p>
    <w:p>
      <w:pPr>
        <w:spacing w:after="160" w:before="0"/>
      </w:pPr>
      <w:r>
        <w:t xml:space="preserve"/>
      </w:r>
    </w:p>
    <w:p>
      <w:pPr>
        <w:pBdr>
          <w:left w:val="single" w:color="6B1A1A" w:sz="20" w:space="1"/>
        </w:pBdr>
        <w:shd w:fill="F8D6D6" w:val="clear"/>
        <w:spacing w:after="100" w:before="180"/>
      </w:pPr>
      <w:r>
        <w:rPr>
          <w:rFonts w:ascii="Arial" w:cs="Arial" w:eastAsia="Arial" w:hAnsi="Arial"/>
          <w:b/>
          <w:bCs/>
          <w:color w:val="6B1A1A"/>
          <w:sz w:val="21"/>
          <w:szCs w:val="21"/>
        </w:rPr>
        <w:t xml:space="preserve">  CCT-003  —  Backup &amp; Recovery Execution by System Administrator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SoD Gap ID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CCT-003</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Gap Description</w:t>
            </w:r>
          </w:p>
        </w:tc>
        <w:tc>
          <w:tcPr>
            <w:tcW w:type="dxa" w:w="69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Backup &amp; Recovery Execution by System Administrator</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Business Justification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The backup and restore function is currently performed by the System Administrator role due to the absence of a dedicated backup operator position. Full SoD would require a separate backup operator who does not have general system admin rights.</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Residual Risk Level</w:t>
            </w:r>
          </w:p>
        </w:tc>
        <w:tc>
          <w:tcPr>
            <w:tcW w:type="dxa" w:w="6960"/>
            <w:tcBorders>
              <w:top w:val="single" w:color="CCCCCC" w:sz="4"/>
              <w:left w:val="single" w:color="CCCCCC" w:sz="4"/>
              <w:bottom w:val="single" w:color="CCCCCC" w:sz="4"/>
              <w:right w:val="single" w:color="CCCCCC" w:sz="4"/>
            </w:tcBorders>
            <w:shd w:fill="FFF3CD" w:val="clear"/>
            <w:tcMar>
              <w:top w:type="dxa" w:w="80"/>
              <w:left w:type="dxa" w:w="130"/>
              <w:bottom w:type="dxa" w:w="80"/>
              <w:right w:type="dxa" w:w="130"/>
            </w:tcMar>
          </w:tcPr>
          <w:p>
            <w:r>
              <w:rPr>
                <w:rFonts w:ascii="Arial" w:cs="Arial" w:eastAsia="Arial" w:hAnsi="Arial"/>
                <w:b/>
                <w:bCs/>
                <w:color w:val="D4860A"/>
                <w:sz w:val="18"/>
                <w:szCs w:val="18"/>
              </w:rPr>
              <w:t xml:space="preserve">MEDIUM  —  Medium — risk of backup manipulation or selective deletion to conceal unauthorised changes.</w:t>
            </w:r>
          </w:p>
        </w:tc>
      </w:tr>
    </w:tbl>
    <w:p>
      <w:pPr>
        <w:spacing w:after="120" w:before="0"/>
      </w:pPr>
      <w:r>
        <w:t xml:space="preserve"/>
      </w:r>
    </w:p>
    <w:p>
      <w:pPr>
        <w:spacing w:after="80" w:before="100"/>
      </w:pPr>
      <w:r>
        <w:rPr>
          <w:rFonts w:ascii="Arial" w:cs="Arial" w:eastAsia="Arial" w:hAnsi="Arial"/>
          <w:b/>
          <w:bCs/>
          <w:color w:val="6B1A1A"/>
          <w:sz w:val="21"/>
          <w:szCs w:val="21"/>
        </w:rPr>
        <w:t xml:space="preserve">Compensating Controls Implemented:</w:t>
      </w:r>
    </w:p>
    <w:p>
      <w:pPr>
        <w:spacing w:after="60" w:before="60"/>
        <w:ind w:left="720"/>
      </w:pPr>
      <w:r>
        <w:rPr>
          <w:rFonts w:ascii="Arial" w:cs="Arial" w:eastAsia="Arial" w:hAnsi="Arial"/>
          <w:color w:val="1A1A1A"/>
          <w:sz w:val="20"/>
          <w:szCs w:val="20"/>
        </w:rPr>
        <w:t xml:space="preserve">1.  Backup job configurations are read-only to the System Admin; changes to backup schedules require separate approval from IT Governance.</w:t>
      </w:r>
    </w:p>
    <w:p>
      <w:pPr>
        <w:spacing w:after="60" w:before="60"/>
        <w:ind w:left="720"/>
      </w:pPr>
      <w:r>
        <w:rPr>
          <w:rFonts w:ascii="Arial" w:cs="Arial" w:eastAsia="Arial" w:hAnsi="Arial"/>
          <w:color w:val="1A1A1A"/>
          <w:sz w:val="20"/>
          <w:szCs w:val="20"/>
        </w:rPr>
        <w:t xml:space="preserve">2.  Backup success/failure logs automatically forwarded to CISO and IT Auditor mailboxes within 30 minutes of job completion.</w:t>
      </w:r>
    </w:p>
    <w:p>
      <w:pPr>
        <w:spacing w:after="60" w:before="60"/>
        <w:ind w:left="720"/>
      </w:pPr>
      <w:r>
        <w:rPr>
          <w:rFonts w:ascii="Arial" w:cs="Arial" w:eastAsia="Arial" w:hAnsi="Arial"/>
          <w:color w:val="1A1A1A"/>
          <w:sz w:val="20"/>
          <w:szCs w:val="20"/>
        </w:rPr>
        <w:t xml:space="preserve">3.  Monthly restore test performed and witnessed by IT Auditor to verify backup integrity.</w:t>
      </w:r>
    </w:p>
    <w:p>
      <w:pPr>
        <w:spacing w:after="60" w:before="60"/>
        <w:ind w:left="720"/>
      </w:pPr>
      <w:r>
        <w:rPr>
          <w:rFonts w:ascii="Arial" w:cs="Arial" w:eastAsia="Arial" w:hAnsi="Arial"/>
          <w:color w:val="1A1A1A"/>
          <w:sz w:val="20"/>
          <w:szCs w:val="20"/>
        </w:rPr>
        <w:t xml:space="preserve">4.  Backup media (tapes / cloud snapshots) access is logged; physical media stored in dual-key safe requiring two custodians.</w:t>
      </w:r>
    </w:p>
    <w:p>
      <w:pPr>
        <w:spacing w:after="60" w:before="60"/>
        <w:ind w:left="720"/>
      </w:pPr>
      <w:r>
        <w:rPr>
          <w:rFonts w:ascii="Arial" w:cs="Arial" w:eastAsia="Arial" w:hAnsi="Arial"/>
          <w:color w:val="1A1A1A"/>
          <w:sz w:val="20"/>
          <w:szCs w:val="20"/>
        </w:rPr>
        <w:t xml:space="preserve">5.  Automated immutable backup copies maintained in Azure Immutable Blob Storage — cannot be deleted or modified by any single user.</w:t>
      </w:r>
    </w:p>
    <w:p>
      <w:pPr>
        <w:spacing w:after="60" w:before="60"/>
        <w:ind w:left="720"/>
      </w:pPr>
      <w:r>
        <w:rPr>
          <w:rFonts w:ascii="Arial" w:cs="Arial" w:eastAsia="Arial" w:hAnsi="Arial"/>
          <w:color w:val="1A1A1A"/>
          <w:sz w:val="20"/>
          <w:szCs w:val="20"/>
        </w:rPr>
        <w:t xml:space="preserve">6.  Annual review of staffing to assess feasibility of creating a dedicated backup operator role.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Control Owner</w:t>
            </w:r>
          </w:p>
          <w:p>
            <w:r>
              <w:rPr>
                <w:rFonts w:ascii="Arial" w:cs="Arial" w:eastAsia="Arial" w:hAnsi="Arial"/>
                <w:color w:val="1A1A1A"/>
                <w:sz w:val="17"/>
                <w:szCs w:val="17"/>
              </w:rPr>
              <w:t xml:space="preserve">Head of IT Operations — Mr. Tariq Hussain</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Approver</w:t>
            </w:r>
          </w:p>
          <w:p>
            <w:r>
              <w:rPr>
                <w:rFonts w:ascii="Arial" w:cs="Arial" w:eastAsia="Arial" w:hAnsi="Arial"/>
                <w:color w:val="1A1A1A"/>
                <w:sz w:val="17"/>
                <w:szCs w:val="17"/>
              </w:rPr>
              <w:t xml:space="preserve">Chief Information Security Officer — Mr. Imran Ali</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Review Date</w:t>
            </w:r>
          </w:p>
          <w:p>
            <w:r>
              <w:rPr>
                <w:rFonts w:ascii="Arial" w:cs="Arial" w:eastAsia="Arial" w:hAnsi="Arial"/>
                <w:color w:val="1A1A1A"/>
                <w:sz w:val="17"/>
                <w:szCs w:val="17"/>
              </w:rPr>
              <w:t xml:space="preserve">March 28, 2025</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Next Review</w:t>
            </w:r>
          </w:p>
          <w:p>
            <w:r>
              <w:rPr>
                <w:rFonts w:ascii="Arial" w:cs="Arial" w:eastAsia="Arial" w:hAnsi="Arial"/>
                <w:color w:val="1A1A1A"/>
                <w:sz w:val="17"/>
                <w:szCs w:val="17"/>
              </w:rPr>
              <w:t xml:space="preserve">September 28, 2025</w:t>
            </w:r>
          </w:p>
        </w:tc>
      </w:tr>
    </w:tbl>
    <w:p>
      <w:pPr>
        <w:spacing w:after="80" w:before="0"/>
      </w:pPr>
      <w:r>
        <w:t xml:space="preserve"/>
      </w:r>
    </w:p>
    <w:p>
      <w:pPr>
        <w:spacing w:after="160" w:before="0"/>
      </w:pPr>
      <w:r>
        <w:t xml:space="preserve"/>
      </w:r>
    </w:p>
    <w:p>
      <w:pPr>
        <w:pBdr>
          <w:left w:val="single" w:color="6B1A1A" w:sz="20" w:space="1"/>
        </w:pBdr>
        <w:shd w:fill="F8D6D6" w:val="clear"/>
        <w:spacing w:after="100" w:before="180"/>
      </w:pPr>
      <w:r>
        <w:rPr>
          <w:rFonts w:ascii="Arial" w:cs="Arial" w:eastAsia="Arial" w:hAnsi="Arial"/>
          <w:b/>
          <w:bCs/>
          <w:color w:val="6B1A1A"/>
          <w:sz w:val="21"/>
          <w:szCs w:val="21"/>
        </w:rPr>
        <w:t xml:space="preserve">  CCT-004  —  Audit Log Review by Security Officer (Who Also Configures Security Tools)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SoD Gap ID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CCT-004</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Gap Description</w:t>
            </w:r>
          </w:p>
        </w:tc>
        <w:tc>
          <w:tcPr>
            <w:tcW w:type="dxa" w:w="69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Audit Log Review by Security Officer (Who Also Configures Security Tools)</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Business Justification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The Security Officer role currently encompasses both security tool configuration and audit log review. Full SoD would require a separate log reviewer who did not configure the tools being audited.</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Residual Risk Level</w:t>
            </w:r>
          </w:p>
        </w:tc>
        <w:tc>
          <w:tcPr>
            <w:tcW w:type="dxa" w:w="69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tcPr>
          <w:p>
            <w:r>
              <w:rPr>
                <w:rFonts w:ascii="Arial" w:cs="Arial" w:eastAsia="Arial" w:hAnsi="Arial"/>
                <w:b/>
                <w:bCs/>
                <w:color w:val="1A8C3A"/>
                <w:sz w:val="18"/>
                <w:szCs w:val="18"/>
              </w:rPr>
              <w:t xml:space="preserve">LOW-MED  —  Low-Medium — Security Officer could theoretically suppress or alter logs of their own configuration changes.</w:t>
            </w:r>
          </w:p>
        </w:tc>
      </w:tr>
    </w:tbl>
    <w:p>
      <w:pPr>
        <w:spacing w:after="120" w:before="0"/>
      </w:pPr>
      <w:r>
        <w:t xml:space="preserve"/>
      </w:r>
    </w:p>
    <w:p>
      <w:pPr>
        <w:spacing w:after="80" w:before="100"/>
      </w:pPr>
      <w:r>
        <w:rPr>
          <w:rFonts w:ascii="Arial" w:cs="Arial" w:eastAsia="Arial" w:hAnsi="Arial"/>
          <w:b/>
          <w:bCs/>
          <w:color w:val="6B1A1A"/>
          <w:sz w:val="21"/>
          <w:szCs w:val="21"/>
        </w:rPr>
        <w:t xml:space="preserve">Compensating Controls Implemented:</w:t>
      </w:r>
    </w:p>
    <w:p>
      <w:pPr>
        <w:spacing w:after="60" w:before="60"/>
        <w:ind w:left="720"/>
      </w:pPr>
      <w:r>
        <w:rPr>
          <w:rFonts w:ascii="Arial" w:cs="Arial" w:eastAsia="Arial" w:hAnsi="Arial"/>
          <w:color w:val="1A1A1A"/>
          <w:sz w:val="20"/>
          <w:szCs w:val="20"/>
        </w:rPr>
        <w:t xml:space="preserve">1.  All audit logs are replicated to a read-only SIEM workspace (Sentinel) where the Security Officer has READER access only — not OWNER.</w:t>
      </w:r>
    </w:p>
    <w:p>
      <w:pPr>
        <w:spacing w:after="60" w:before="60"/>
        <w:ind w:left="720"/>
      </w:pPr>
      <w:r>
        <w:rPr>
          <w:rFonts w:ascii="Arial" w:cs="Arial" w:eastAsia="Arial" w:hAnsi="Arial"/>
          <w:color w:val="1A1A1A"/>
          <w:sz w:val="20"/>
          <w:szCs w:val="20"/>
        </w:rPr>
        <w:t xml:space="preserve">2.  Alert suppression in Sentinel requires dual approval from Security Officer AND IT Auditor (enforced technically — see CV-SOD-ACC-002).</w:t>
      </w:r>
    </w:p>
    <w:p>
      <w:pPr>
        <w:spacing w:after="60" w:before="60"/>
        <w:ind w:left="720"/>
      </w:pPr>
      <w:r>
        <w:rPr>
          <w:rFonts w:ascii="Arial" w:cs="Arial" w:eastAsia="Arial" w:hAnsi="Arial"/>
          <w:color w:val="1A1A1A"/>
          <w:sz w:val="20"/>
          <w:szCs w:val="20"/>
        </w:rPr>
        <w:t xml:space="preserve">3.  IT Auditor independently reviews Security Officer activity logs monthly, specifically reviewing any tool configuration changes.</w:t>
      </w:r>
    </w:p>
    <w:p>
      <w:pPr>
        <w:spacing w:after="60" w:before="60"/>
        <w:ind w:left="720"/>
      </w:pPr>
      <w:r>
        <w:rPr>
          <w:rFonts w:ascii="Arial" w:cs="Arial" w:eastAsia="Arial" w:hAnsi="Arial"/>
          <w:color w:val="1A1A1A"/>
          <w:sz w:val="20"/>
          <w:szCs w:val="20"/>
        </w:rPr>
        <w:t xml:space="preserve">4.  Annual external SOC audit reviews Security Officer log access and validates that no log tampering has occurred.</w:t>
      </w:r>
    </w:p>
    <w:p>
      <w:pPr>
        <w:spacing w:after="60" w:before="60"/>
        <w:ind w:left="720"/>
      </w:pPr>
      <w:r>
        <w:rPr>
          <w:rFonts w:ascii="Arial" w:cs="Arial" w:eastAsia="Arial" w:hAnsi="Arial"/>
          <w:color w:val="1A1A1A"/>
          <w:sz w:val="20"/>
          <w:szCs w:val="20"/>
        </w:rPr>
        <w:t xml:space="preserve">5.  Security Officer activity logged in a separate immutable audit trail accessible only to IT Auditor and CISO.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Control Owner</w:t>
            </w:r>
          </w:p>
          <w:p>
            <w:r>
              <w:rPr>
                <w:rFonts w:ascii="Arial" w:cs="Arial" w:eastAsia="Arial" w:hAnsi="Arial"/>
                <w:color w:val="1A1A1A"/>
                <w:sz w:val="17"/>
                <w:szCs w:val="17"/>
              </w:rPr>
              <w:t xml:space="preserve">Chief Information Security Officer — Mr. Imran Ali</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Approver</w:t>
            </w:r>
          </w:p>
          <w:p>
            <w:r>
              <w:rPr>
                <w:rFonts w:ascii="Arial" w:cs="Arial" w:eastAsia="Arial" w:hAnsi="Arial"/>
                <w:color w:val="1A1A1A"/>
                <w:sz w:val="17"/>
                <w:szCs w:val="17"/>
              </w:rPr>
              <w:t xml:space="preserve">IT Governance Lead — Mr. Waqas Siddiqui</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Review Date</w:t>
            </w:r>
          </w:p>
          <w:p>
            <w:r>
              <w:rPr>
                <w:rFonts w:ascii="Arial" w:cs="Arial" w:eastAsia="Arial" w:hAnsi="Arial"/>
                <w:color w:val="1A1A1A"/>
                <w:sz w:val="17"/>
                <w:szCs w:val="17"/>
              </w:rPr>
              <w:t xml:space="preserve">March 28, 2025</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Next Review</w:t>
            </w:r>
          </w:p>
          <w:p>
            <w:r>
              <w:rPr>
                <w:rFonts w:ascii="Arial" w:cs="Arial" w:eastAsia="Arial" w:hAnsi="Arial"/>
                <w:color w:val="1A1A1A"/>
                <w:sz w:val="17"/>
                <w:szCs w:val="17"/>
              </w:rPr>
              <w:t xml:space="preserve">September 28, 2025</w:t>
            </w:r>
          </w:p>
        </w:tc>
      </w:tr>
    </w:tbl>
    <w:p>
      <w:pPr>
        <w:spacing w:after="80" w:before="0"/>
      </w:pPr>
      <w:r>
        <w:t xml:space="preserve"/>
      </w:r>
    </w:p>
    <w:p>
      <w:pPr>
        <w:spacing w:after="160" w:before="0"/>
      </w:pPr>
      <w:r>
        <w:t xml:space="preserve"/>
      </w:r>
    </w:p>
    <w:p>
      <w:pPr>
        <w:pBdr>
          <w:left w:val="single" w:color="6B1A1A" w:sz="20" w:space="1"/>
        </w:pBdr>
        <w:shd w:fill="F8D6D6" w:val="clear"/>
        <w:spacing w:after="100" w:before="180"/>
      </w:pPr>
      <w:r>
        <w:rPr>
          <w:rFonts w:ascii="Arial" w:cs="Arial" w:eastAsia="Arial" w:hAnsi="Arial"/>
          <w:b/>
          <w:bCs/>
          <w:color w:val="6B1A1A"/>
          <w:sz w:val="21"/>
          <w:szCs w:val="21"/>
        </w:rPr>
        <w:t xml:space="preserve">  CCT-005  —  Financial Manager Partial Access to Financial Transaction Initiation &amp; Approval (SAP Warning)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SoD Gap ID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CCT-005</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Gap Description</w:t>
            </w:r>
          </w:p>
        </w:tc>
        <w:tc>
          <w:tcPr>
            <w:tcW w:type="dxa" w:w="69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Financial Manager Partial Access to Financial Transaction Initiation &amp; Approval (SAP Warning)</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Business Justification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Finance Manager requires VIEW access to payment runs (F110 display) for reporting purposes, but this SAP transaction also includes an approval button. A fully restricted view-only mode for F110 is not technically feasible in the current SAP version.</w:t>
            </w:r>
          </w:p>
        </w:tc>
      </w:tr>
      <w:tr>
        <w:tc>
          <w:tcPr>
            <w:tcW w:type="dxa" w:w="2400"/>
            <w:tcBorders>
              <w:top w:val="single" w:color="CCCCCC" w:sz="4"/>
              <w:left w:val="single" w:color="CCCCCC" w:sz="4"/>
              <w:bottom w:val="single" w:color="CCCCCC" w:sz="4"/>
              <w:right w:val="single" w:color="CCCCCC" w:sz="4"/>
            </w:tcBorders>
            <w:shd w:fill="F8D6D6" w:val="clear"/>
            <w:tcMar>
              <w:top w:type="dxa" w:w="80"/>
              <w:left w:type="dxa" w:w="130"/>
              <w:bottom w:type="dxa" w:w="80"/>
              <w:right w:type="dxa" w:w="130"/>
            </w:tcMar>
            <w:vAlign w:val="center"/>
          </w:tcPr>
          <w:p>
            <w:pPr>
              <w:jc w:val="left"/>
            </w:pPr>
            <w:r>
              <w:rPr>
                <w:rFonts w:ascii="Arial" w:cs="Arial" w:eastAsia="Arial" w:hAnsi="Arial"/>
                <w:b/>
                <w:bCs/>
                <w:color w:val="6B1A1A"/>
                <w:sz w:val="18"/>
                <w:szCs w:val="18"/>
              </w:rPr>
              <w:t xml:space="preserve">Residual Risk Level</w:t>
            </w:r>
          </w:p>
        </w:tc>
        <w:tc>
          <w:tcPr>
            <w:tcW w:type="dxa" w:w="69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tcPr>
          <w:p>
            <w:r>
              <w:rPr>
                <w:rFonts w:ascii="Arial" w:cs="Arial" w:eastAsia="Arial" w:hAnsi="Arial"/>
                <w:b/>
                <w:bCs/>
                <w:color w:val="1A8C3A"/>
                <w:sz w:val="18"/>
                <w:szCs w:val="18"/>
              </w:rPr>
              <w:t xml:space="preserve">LOW  —  Low — Finance Manager does not have signatory authority; any approval action would be traceable and flagged.</w:t>
            </w:r>
          </w:p>
        </w:tc>
      </w:tr>
    </w:tbl>
    <w:p>
      <w:pPr>
        <w:spacing w:after="120" w:before="0"/>
      </w:pPr>
      <w:r>
        <w:t xml:space="preserve"/>
      </w:r>
    </w:p>
    <w:p>
      <w:pPr>
        <w:spacing w:after="80" w:before="100"/>
      </w:pPr>
      <w:r>
        <w:rPr>
          <w:rFonts w:ascii="Arial" w:cs="Arial" w:eastAsia="Arial" w:hAnsi="Arial"/>
          <w:b/>
          <w:bCs/>
          <w:color w:val="6B1A1A"/>
          <w:sz w:val="21"/>
          <w:szCs w:val="21"/>
        </w:rPr>
        <w:t xml:space="preserve">Compensating Controls Implemented:</w:t>
      </w:r>
    </w:p>
    <w:p>
      <w:pPr>
        <w:spacing w:after="60" w:before="60"/>
        <w:ind w:left="720"/>
      </w:pPr>
      <w:r>
        <w:rPr>
          <w:rFonts w:ascii="Arial" w:cs="Arial" w:eastAsia="Arial" w:hAnsi="Arial"/>
          <w:color w:val="1A1A1A"/>
          <w:sz w:val="20"/>
          <w:szCs w:val="20"/>
        </w:rPr>
        <w:t xml:space="preserve">1.  Finance Manager SAP role is formally documented as 'Display Only Intent' with written acknowledgement from the user.</w:t>
      </w:r>
    </w:p>
    <w:p>
      <w:pPr>
        <w:spacing w:after="60" w:before="60"/>
        <w:ind w:left="720"/>
      </w:pPr>
      <w:r>
        <w:rPr>
          <w:rFonts w:ascii="Arial" w:cs="Arial" w:eastAsia="Arial" w:hAnsi="Arial"/>
          <w:color w:val="1A1A1A"/>
          <w:sz w:val="20"/>
          <w:szCs w:val="20"/>
        </w:rPr>
        <w:t xml:space="preserve">2.  SAP GRC monitoring rule FIN-MGR-WATCH-001 raises an alert if Finance Manager executes any action other than display in F110.</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Control Owner</w:t>
            </w:r>
          </w:p>
          <w:p>
            <w:r>
              <w:rPr>
                <w:rFonts w:ascii="Arial" w:cs="Arial" w:eastAsia="Arial" w:hAnsi="Arial"/>
                <w:color w:val="1A1A1A"/>
                <w:sz w:val="17"/>
                <w:szCs w:val="17"/>
              </w:rPr>
              <w:t xml:space="preserve">Finance Controller — Ms. Amna Baig</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Approver</w:t>
            </w:r>
          </w:p>
          <w:p>
            <w:r>
              <w:rPr>
                <w:rFonts w:ascii="Arial" w:cs="Arial" w:eastAsia="Arial" w:hAnsi="Arial"/>
                <w:color w:val="1A1A1A"/>
                <w:sz w:val="17"/>
                <w:szCs w:val="17"/>
              </w:rPr>
              <w:t xml:space="preserve">Chief Financial Officer — Ms. Sana Tariq</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Review Date</w:t>
            </w:r>
          </w:p>
          <w:p>
            <w:r>
              <w:rPr>
                <w:rFonts w:ascii="Arial" w:cs="Arial" w:eastAsia="Arial" w:hAnsi="Arial"/>
                <w:color w:val="1A1A1A"/>
                <w:sz w:val="17"/>
                <w:szCs w:val="17"/>
              </w:rPr>
              <w:t xml:space="preserve">March 28, 2025</w:t>
            </w:r>
          </w:p>
        </w:tc>
        <w:tc>
          <w:tcPr>
            <w:tcW w:type="dxa" w:w="2340"/>
            <w:tcBorders>
              <w:top w:val="single" w:color="F8D6D6" w:sz="4"/>
              <w:left w:val="single" w:color="F8D6D6" w:sz="4"/>
              <w:bottom w:val="single" w:color="F8D6D6" w:sz="4"/>
              <w:right w:val="single" w:color="F8D6D6" w:sz="4"/>
            </w:tcBorders>
            <w:shd w:fill="F8D6D6" w:val="clear"/>
            <w:tcMar>
              <w:top w:type="dxa" w:w="100"/>
              <w:left w:type="dxa" w:w="160"/>
              <w:bottom w:type="dxa" w:w="100"/>
              <w:right w:type="dxa" w:w="160"/>
            </w:tcMar>
          </w:tcPr>
          <w:p>
            <w:r>
              <w:rPr>
                <w:rFonts w:ascii="Arial" w:cs="Arial" w:eastAsia="Arial" w:hAnsi="Arial"/>
                <w:b/>
                <w:bCs/>
                <w:color w:val="6B1A1A"/>
                <w:sz w:val="16"/>
                <w:szCs w:val="16"/>
              </w:rPr>
              <w:t xml:space="preserve">Next Review</w:t>
            </w:r>
          </w:p>
          <w:p>
            <w:r>
              <w:rPr>
                <w:rFonts w:ascii="Arial" w:cs="Arial" w:eastAsia="Arial" w:hAnsi="Arial"/>
                <w:color w:val="1A1A1A"/>
                <w:sz w:val="17"/>
                <w:szCs w:val="17"/>
              </w:rPr>
              <w:t xml:space="preserve">September 28, 2025</w:t>
            </w:r>
          </w:p>
        </w:tc>
      </w:tr>
    </w:tbl>
    <w:p>
      <w:pPr>
        <w:spacing w:after="80" w:before="0"/>
      </w:pPr>
      <w:r>
        <w:t xml:space="preserve"/>
      </w:r>
    </w:p>
    <w:p>
      <w:pPr>
        <w:spacing w:after="200" w:before="0"/>
      </w:pPr>
      <w:r>
        <w:t xml:space="preserve"/>
      </w:r>
    </w:p>
    <w:p>
      <w:pPr>
        <w:spacing w:after="140" w:before="280"/>
      </w:pPr>
      <w:r>
        <w:rPr>
          <w:rFonts w:ascii="Arial" w:cs="Arial" w:eastAsia="Arial" w:hAnsi="Arial"/>
          <w:b/>
          <w:bCs/>
          <w:color w:val="6B1A1A"/>
          <w:sz w:val="24"/>
          <w:szCs w:val="24"/>
        </w:rPr>
        <w:t xml:space="preserve">4. MANAGEMENT ACCEPTANCE STATEMENT</w:t>
      </w:r>
    </w:p>
    <w:p>
      <w:pPr>
        <w:pBdr>
          <w:bottom w:val="single" w:color="6B1A1A" w:sz="8" w:space="1"/>
        </w:pBdr>
        <w:spacing w:after="120" w:before="0"/>
      </w:pPr>
      <w:r>
        <w:t xml:space="preserve"/>
      </w:r>
    </w:p>
    <w:p>
      <w:pPr>
        <w:spacing w:after="100" w:before="80"/>
      </w:pPr>
      <w:r>
        <w:rPr>
          <w:rFonts w:ascii="Arial" w:cs="Arial" w:eastAsia="Arial" w:hAnsi="Arial"/>
          <w:color w:val="1A1A1A"/>
          <w:sz w:val="20"/>
          <w:szCs w:val="20"/>
        </w:rPr>
        <w:t xml:space="preserve">The SoD gaps and compensating controls documented in this register have been formally reviewed and accepted by senior management. The compensating controls are deemed sufficient to reduce the residual risk to an acceptable level for each identified exception. All exceptions are subject to semi-annual review and will be remediated if staffing, technical, or operational conditions change.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8D6D6" w:sz="6"/>
              <w:left w:val="single" w:color="F8D6D6" w:sz="6"/>
              <w:bottom w:val="single" w:color="F8D6D6" w:sz="6"/>
              <w:right w:val="single" w:color="F8D6D6" w:sz="6"/>
            </w:tcBorders>
            <w:tcMar>
              <w:top w:type="dxa" w:w="160"/>
              <w:left w:type="dxa" w:w="180"/>
              <w:bottom w:type="dxa" w:w="200"/>
              <w:right w:type="dxa" w:w="180"/>
            </w:tcMar>
          </w:tcPr>
          <w:p>
            <w:r>
              <w:rPr>
                <w:rFonts w:ascii="Arial" w:cs="Arial" w:eastAsia="Arial" w:hAnsi="Arial"/>
                <w:b/>
                <w:bCs/>
                <w:color w:val="6B1A1A"/>
                <w:sz w:val="17"/>
                <w:szCs w:val="17"/>
              </w:rPr>
              <w:t xml:space="preserve">Chief Information Security Officer</w:t>
            </w:r>
          </w:p>
          <w:p>
            <w:pPr>
              <w:pBdr>
                <w:bottom w:val="single" w:color="999999" w:sz="4" w:space="1"/>
              </w:pBdr>
              <w:spacing w:after="80" w:before="460"/>
            </w:pPr>
            <w:r>
              <w:rPr>
                <w:rFonts w:ascii="Arial" w:cs="Arial" w:eastAsia="Arial" w:hAnsi="Arial"/>
                <w:color w:val="555555"/>
                <w:sz w:val="17"/>
                <w:szCs w:val="17"/>
              </w:rPr>
              <w:t xml:space="preserve">Mr. Imran Ali</w:t>
            </w:r>
          </w:p>
          <w:p>
            <w:r>
              <w:rPr>
                <w:rFonts w:ascii="Arial" w:cs="Arial" w:eastAsia="Arial" w:hAnsi="Arial"/>
                <w:color w:val="1A1A1A"/>
                <w:sz w:val="17"/>
                <w:szCs w:val="17"/>
              </w:rPr>
              <w:t xml:space="preserve">Date Signed: March 28, 2025</w:t>
            </w:r>
          </w:p>
        </w:tc>
        <w:tc>
          <w:tcPr>
            <w:tcW w:type="dxa" w:w="3120"/>
            <w:tcBorders>
              <w:top w:val="single" w:color="F8D6D6" w:sz="6"/>
              <w:left w:val="single" w:color="F8D6D6" w:sz="6"/>
              <w:bottom w:val="single" w:color="F8D6D6" w:sz="6"/>
              <w:right w:val="single" w:color="F8D6D6" w:sz="6"/>
            </w:tcBorders>
            <w:tcMar>
              <w:top w:type="dxa" w:w="160"/>
              <w:left w:type="dxa" w:w="180"/>
              <w:bottom w:type="dxa" w:w="200"/>
              <w:right w:type="dxa" w:w="180"/>
            </w:tcMar>
          </w:tcPr>
          <w:p>
            <w:r>
              <w:rPr>
                <w:rFonts w:ascii="Arial" w:cs="Arial" w:eastAsia="Arial" w:hAnsi="Arial"/>
                <w:b/>
                <w:bCs/>
                <w:color w:val="6B1A1A"/>
                <w:sz w:val="17"/>
                <w:szCs w:val="17"/>
              </w:rPr>
              <w:t xml:space="preserve">Chief Financial Officer</w:t>
            </w:r>
          </w:p>
          <w:p>
            <w:pPr>
              <w:pBdr>
                <w:bottom w:val="single" w:color="999999" w:sz="4" w:space="1"/>
              </w:pBdr>
              <w:spacing w:after="80" w:before="460"/>
            </w:pPr>
            <w:r>
              <w:rPr>
                <w:rFonts w:ascii="Arial" w:cs="Arial" w:eastAsia="Arial" w:hAnsi="Arial"/>
                <w:color w:val="555555"/>
                <w:sz w:val="17"/>
                <w:szCs w:val="17"/>
              </w:rPr>
              <w:t xml:space="preserve">Ms. Sana Tariq</w:t>
            </w:r>
          </w:p>
          <w:p>
            <w:r>
              <w:rPr>
                <w:rFonts w:ascii="Arial" w:cs="Arial" w:eastAsia="Arial" w:hAnsi="Arial"/>
                <w:color w:val="1A1A1A"/>
                <w:sz w:val="17"/>
                <w:szCs w:val="17"/>
              </w:rPr>
              <w:t xml:space="preserve">Date Signed: March 28, 2025</w:t>
            </w:r>
          </w:p>
        </w:tc>
        <w:tc>
          <w:tcPr>
            <w:tcW w:type="dxa" w:w="3120"/>
            <w:tcBorders>
              <w:top w:val="single" w:color="F8D6D6" w:sz="6"/>
              <w:left w:val="single" w:color="F8D6D6" w:sz="6"/>
              <w:bottom w:val="single" w:color="F8D6D6" w:sz="6"/>
              <w:right w:val="single" w:color="F8D6D6" w:sz="6"/>
            </w:tcBorders>
            <w:tcMar>
              <w:top w:type="dxa" w:w="160"/>
              <w:left w:type="dxa" w:w="180"/>
              <w:bottom w:type="dxa" w:w="200"/>
              <w:right w:type="dxa" w:w="180"/>
            </w:tcMar>
          </w:tcPr>
          <w:p>
            <w:r>
              <w:rPr>
                <w:rFonts w:ascii="Arial" w:cs="Arial" w:eastAsia="Arial" w:hAnsi="Arial"/>
                <w:b/>
                <w:bCs/>
                <w:color w:val="6B1A1A"/>
                <w:sz w:val="17"/>
                <w:szCs w:val="17"/>
              </w:rPr>
              <w:t xml:space="preserve">Chief Executive Officer</w:t>
            </w:r>
          </w:p>
          <w:p>
            <w:pPr>
              <w:pBdr>
                <w:bottom w:val="single" w:color="999999" w:sz="4" w:space="1"/>
              </w:pBdr>
              <w:spacing w:after="80" w:before="460"/>
            </w:pPr>
            <w:r>
              <w:rPr>
                <w:rFonts w:ascii="Arial" w:cs="Arial" w:eastAsia="Arial" w:hAnsi="Arial"/>
                <w:color w:val="555555"/>
                <w:sz w:val="17"/>
                <w:szCs w:val="17"/>
              </w:rPr>
              <w:t xml:space="preserve">Mr. Raza Khan</w:t>
            </w:r>
          </w:p>
          <w:p>
            <w:r>
              <w:rPr>
                <w:rFonts w:ascii="Arial" w:cs="Arial" w:eastAsia="Arial" w:hAnsi="Arial"/>
                <w:color w:val="1A1A1A"/>
                <w:sz w:val="17"/>
                <w:szCs w:val="17"/>
              </w:rPr>
              <w:t xml:space="preserve">Date Signed: March 28, 2025</w:t>
            </w:r>
          </w:p>
        </w:tc>
      </w:tr>
    </w:tbl>
    <w:p>
      <w:pPr>
        <w:spacing w:after="280" w:before="0"/>
      </w:pPr>
      <w:r>
        <w:t xml:space="preserve"/>
      </w:r>
    </w:p>
    <w:p>
      <w:pPr>
        <w:pBdr>
          <w:left w:val="single" w:color="6B1A1A" w:sz="16" w:space="1"/>
        </w:pBdr>
        <w:shd w:fill="F4F6FA" w:val="clear"/>
        <w:spacing w:after="0" w:before="0"/>
        <w:ind w:left="240"/>
      </w:pPr>
      <w:r>
        <w:rPr>
          <w:rFonts w:ascii="Arial" w:cs="Arial" w:eastAsia="Arial" w:hAnsi="Arial"/>
          <w:color w:val="555555"/>
          <w:sz w:val="16"/>
          <w:szCs w:val="16"/>
        </w:rPr>
        <w:t xml:space="preserve">Official Use Only  |  Document Ref: CV-SOD-CCT-003  |  ComplyVerse GRC Platform  |  ISO/IEC 27001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2026-04-02T03:39:55.186Z</dcterms:created>
  <dcterms:modified xsi:type="dcterms:W3CDTF">2026-04-02T03:39:55.186Z</dcterms:modified>
</cp:coreProperties>
</file>

<file path=docProps/custom.xml><?xml version="1.0" encoding="utf-8"?>
<Properties xmlns="http://schemas.openxmlformats.org/officeDocument/2006/custom-properties" xmlns:vt="http://schemas.openxmlformats.org/officeDocument/2006/docPropsVTypes"/>
</file>