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C6E" w:val="clear"/>
        <w:spacing w:after="0" w:before="0"/>
      </w:pPr>
      <w:r>
        <w:rPr>
          <w:rFonts w:ascii="Arial" w:cs="Arial" w:eastAsia="Arial" w:hAnsi="Arial"/>
          <w:b/>
          <w:bCs/>
          <w:color w:val="FFFFFF"/>
          <w:sz w:val="32"/>
          <w:szCs w:val="32"/>
        </w:rPr>
        <w:t xml:space="preserve">COMPLYVERSE  |  BOARD RESOLUTION</w:t>
      </w:r>
    </w:p>
    <w:p>
      <w:pPr>
        <w:shd w:fill="1A3C6E" w:val="clear"/>
        <w:spacing w:after="280" w:before="60"/>
      </w:pPr>
      <w:r>
        <w:rPr>
          <w:rFonts w:ascii="Arial" w:cs="Arial" w:eastAsia="Arial" w:hAnsi="Arial"/>
          <w:color w:val="A8C8F0"/>
          <w:sz w:val="22"/>
          <w:szCs w:val="22"/>
        </w:rPr>
        <w:t xml:space="preserve">Technology Policy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6E4F4" w:sz="4"/>
              <w:left w:val="single" w:color="D6E4F4" w:sz="4"/>
              <w:bottom w:val="single" w:color="D6E4F4" w:sz="4"/>
              <w:right w:val="single" w:color="D6E4F4" w:sz="4"/>
            </w:tcBorders>
            <w:shd w:fill="D6E4F4" w:val="clear"/>
            <w:tcMar>
              <w:top w:type="dxa" w:w="120"/>
              <w:left w:type="dxa" w:w="180"/>
              <w:bottom w:type="dxa" w:w="120"/>
              <w:right w:type="dxa" w:w="180"/>
            </w:tcMar>
          </w:tcPr>
          <w:p>
            <w:r>
              <w:rPr>
                <w:rFonts w:ascii="Arial" w:cs="Arial" w:eastAsia="Arial" w:hAnsi="Arial"/>
                <w:b/>
                <w:bCs/>
                <w:color w:val="1A3C6E"/>
                <w:sz w:val="18"/>
                <w:szCs w:val="18"/>
              </w:rPr>
              <w:t xml:space="preserve">Resolution No.</w:t>
            </w:r>
          </w:p>
          <w:p>
            <w:r>
              <w:rPr>
                <w:rFonts w:ascii="Arial" w:cs="Arial" w:eastAsia="Arial" w:hAnsi="Arial"/>
                <w:b/>
                <w:bCs/>
                <w:color w:val="1A1A1A"/>
                <w:sz w:val="22"/>
                <w:szCs w:val="22"/>
              </w:rPr>
              <w:t xml:space="preserve">BR-2025-TECH-007</w:t>
            </w:r>
          </w:p>
        </w:tc>
        <w:tc>
          <w:tcPr>
            <w:tcW w:type="dxa" w:w="3280"/>
            <w:tcBorders>
              <w:top w:val="single" w:color="D6E4F4" w:sz="4"/>
              <w:left w:val="single" w:color="D6E4F4" w:sz="4"/>
              <w:bottom w:val="single" w:color="D6E4F4" w:sz="4"/>
              <w:right w:val="single" w:color="D6E4F4" w:sz="4"/>
            </w:tcBorders>
            <w:shd w:fill="F4F6FA" w:val="clear"/>
            <w:tcMar>
              <w:top w:type="dxa" w:w="120"/>
              <w:left w:type="dxa" w:w="180"/>
              <w:bottom w:type="dxa" w:w="120"/>
              <w:right w:type="dxa" w:w="180"/>
            </w:tcMar>
          </w:tcPr>
          <w:p>
            <w:r>
              <w:rPr>
                <w:rFonts w:ascii="Arial" w:cs="Arial" w:eastAsia="Arial" w:hAnsi="Arial"/>
                <w:b/>
                <w:bCs/>
                <w:color w:val="1A3C6E"/>
                <w:sz w:val="18"/>
                <w:szCs w:val="18"/>
              </w:rPr>
              <w:t xml:space="preserve">Date of Resolution</w:t>
            </w:r>
          </w:p>
          <w:p>
            <w:r>
              <w:rPr>
                <w:rFonts w:ascii="Arial" w:cs="Arial" w:eastAsia="Arial" w:hAnsi="Arial"/>
                <w:color w:val="1A1A1A"/>
                <w:sz w:val="22"/>
                <w:szCs w:val="22"/>
              </w:rPr>
              <w:t xml:space="preserve">March 28, 2025</w:t>
            </w:r>
          </w:p>
        </w:tc>
        <w:tc>
          <w:tcPr>
            <w:tcW w:type="dxa" w:w="3280"/>
            <w:tcBorders>
              <w:top w:val="single" w:color="D6E4F4" w:sz="4"/>
              <w:left w:val="single" w:color="D6E4F4" w:sz="4"/>
              <w:bottom w:val="single" w:color="D6E4F4" w:sz="4"/>
              <w:right w:val="single" w:color="D6E4F4" w:sz="4"/>
            </w:tcBorders>
            <w:shd w:fill="F4F6FA" w:val="clear"/>
            <w:tcMar>
              <w:top w:type="dxa" w:w="120"/>
              <w:left w:type="dxa" w:w="180"/>
              <w:bottom w:type="dxa" w:w="120"/>
              <w:right w:type="dxa" w:w="180"/>
            </w:tcMar>
          </w:tcPr>
          <w:p>
            <w:r>
              <w:rPr>
                <w:rFonts w:ascii="Arial" w:cs="Arial" w:eastAsia="Arial" w:hAnsi="Arial"/>
                <w:b/>
                <w:bCs/>
                <w:color w:val="1A3C6E"/>
                <w:sz w:val="18"/>
                <w:szCs w:val="18"/>
              </w:rPr>
              <w:t xml:space="preserve">Status</w:t>
            </w:r>
          </w:p>
          <w:p>
            <w:r>
              <w:rPr>
                <w:rFonts w:ascii="Arial" w:cs="Arial" w:eastAsia="Arial" w:hAnsi="Arial"/>
                <w:b/>
                <w:bCs/>
                <w:color w:val="1A8C3A"/>
                <w:sz w:val="22"/>
                <w:szCs w:val="22"/>
              </w:rPr>
              <w:t xml:space="preserve">ADOPTED</w:t>
            </w:r>
          </w:p>
        </w:tc>
      </w:tr>
    </w:tbl>
    <w:p>
      <w:pPr>
        <w:spacing w:after="240" w:before="0"/>
      </w:pPr>
      <w:r>
        <w:t xml:space="preserve"/>
      </w:r>
    </w:p>
    <w:p>
      <w:pPr>
        <w:spacing w:after="140" w:before="280"/>
      </w:pPr>
      <w:r>
        <w:rPr>
          <w:rFonts w:ascii="Arial" w:cs="Arial" w:eastAsia="Arial" w:hAnsi="Arial"/>
          <w:b/>
          <w:bCs/>
          <w:color w:val="1A3C6E"/>
          <w:sz w:val="24"/>
          <w:szCs w:val="24"/>
        </w:rPr>
        <w:t xml:space="preserve">BOARD OF DIRECTORS — ORGANIZATION DETAILS</w:t>
      </w:r>
    </w:p>
    <w:p>
      <w:pPr>
        <w:pBdr>
          <w:bottom w:val="single" w:color="1A3C6E" w:sz="8" w:space="1"/>
        </w:pBdr>
        <w:spacing w:after="120" w:before="0"/>
      </w:pPr>
      <w:r>
        <w:t xml:space="preserve"/>
      </w:r>
    </w:p>
    <w:p>
      <w:pPr>
        <w:spacing w:after="80" w:before="80"/>
      </w:pPr>
      <w:r>
        <w:rPr>
          <w:rFonts w:ascii="Arial" w:cs="Arial" w:eastAsia="Arial" w:hAnsi="Arial"/>
          <w:b/>
          <w:bCs/>
          <w:color w:val="555555"/>
          <w:sz w:val="20"/>
          <w:szCs w:val="20"/>
        </w:rPr>
        <w:t xml:space="preserve">Organization Name:  </w:t>
      </w:r>
      <w:r>
        <w:rPr>
          <w:rFonts w:ascii="Arial" w:cs="Arial" w:eastAsia="Arial" w:hAnsi="Arial"/>
          <w:color w:val="1A1A1A"/>
          <w:sz w:val="20"/>
          <w:szCs w:val="20"/>
        </w:rPr>
        <w:t xml:space="preserve">DemoTech Enterprises (Pvt.) Ltd.</w:t>
      </w:r>
    </w:p>
    <w:p>
      <w:pPr>
        <w:spacing w:after="80" w:before="80"/>
      </w:pPr>
      <w:r>
        <w:rPr>
          <w:rFonts w:ascii="Arial" w:cs="Arial" w:eastAsia="Arial" w:hAnsi="Arial"/>
          <w:b/>
          <w:bCs/>
          <w:color w:val="555555"/>
          <w:sz w:val="20"/>
          <w:szCs w:val="20"/>
        </w:rPr>
        <w:t xml:space="preserve">Registered Address:  </w:t>
      </w:r>
      <w:r>
        <w:rPr>
          <w:rFonts w:ascii="Arial" w:cs="Arial" w:eastAsia="Arial" w:hAnsi="Arial"/>
          <w:color w:val="1A1A1A"/>
          <w:sz w:val="20"/>
          <w:szCs w:val="20"/>
        </w:rPr>
        <w:t xml:space="preserve">Plot 42, SITE Area, Karachi, Sindh, Pakistan</w:t>
      </w:r>
    </w:p>
    <w:p>
      <w:pPr>
        <w:spacing w:after="80" w:before="80"/>
      </w:pPr>
      <w:r>
        <w:rPr>
          <w:rFonts w:ascii="Arial" w:cs="Arial" w:eastAsia="Arial" w:hAnsi="Arial"/>
          <w:b/>
          <w:bCs/>
          <w:color w:val="555555"/>
          <w:sz w:val="20"/>
          <w:szCs w:val="20"/>
        </w:rPr>
        <w:t xml:space="preserve">Registration Number:  </w:t>
      </w:r>
      <w:r>
        <w:rPr>
          <w:rFonts w:ascii="Arial" w:cs="Arial" w:eastAsia="Arial" w:hAnsi="Arial"/>
          <w:color w:val="1A1A1A"/>
          <w:sz w:val="20"/>
          <w:szCs w:val="20"/>
        </w:rPr>
        <w:t xml:space="preserve">SECP-0078234-2019</w:t>
      </w:r>
    </w:p>
    <w:p>
      <w:pPr>
        <w:spacing w:after="80" w:before="80"/>
      </w:pPr>
      <w:r>
        <w:rPr>
          <w:rFonts w:ascii="Arial" w:cs="Arial" w:eastAsia="Arial" w:hAnsi="Arial"/>
          <w:b/>
          <w:bCs/>
          <w:color w:val="555555"/>
          <w:sz w:val="20"/>
          <w:szCs w:val="20"/>
        </w:rPr>
        <w:t xml:space="preserve">Regulatory Authority:  </w:t>
      </w:r>
      <w:r>
        <w:rPr>
          <w:rFonts w:ascii="Arial" w:cs="Arial" w:eastAsia="Arial" w:hAnsi="Arial"/>
          <w:color w:val="1A1A1A"/>
          <w:sz w:val="20"/>
          <w:szCs w:val="20"/>
        </w:rPr>
        <w:t xml:space="preserve">Securities &amp; Exchange Commission of Pakistan (SECP)</w:t>
      </w:r>
    </w:p>
    <w:p>
      <w:pPr>
        <w:spacing w:after="80" w:before="80"/>
      </w:pPr>
      <w:r>
        <w:rPr>
          <w:rFonts w:ascii="Arial" w:cs="Arial" w:eastAsia="Arial" w:hAnsi="Arial"/>
          <w:b/>
          <w:bCs/>
          <w:color w:val="555555"/>
          <w:sz w:val="20"/>
          <w:szCs w:val="20"/>
        </w:rPr>
        <w:t xml:space="preserve">Board Meeting Reference:  </w:t>
      </w:r>
      <w:r>
        <w:rPr>
          <w:rFonts w:ascii="Arial" w:cs="Arial" w:eastAsia="Arial" w:hAnsi="Arial"/>
          <w:color w:val="1A1A1A"/>
          <w:sz w:val="20"/>
          <w:szCs w:val="20"/>
        </w:rPr>
        <w:t xml:space="preserve">Annual Board Meeting — Q1 2025</w:t>
      </w:r>
    </w:p>
    <w:p>
      <w:pPr>
        <w:spacing w:after="200" w:before="0"/>
      </w:pPr>
      <w:r>
        <w:t xml:space="preserve"/>
      </w:r>
    </w:p>
    <w:p>
      <w:pPr>
        <w:spacing w:after="140" w:before="280"/>
      </w:pPr>
      <w:r>
        <w:rPr>
          <w:rFonts w:ascii="Arial" w:cs="Arial" w:eastAsia="Arial" w:hAnsi="Arial"/>
          <w:b/>
          <w:bCs/>
          <w:color w:val="1A3C6E"/>
          <w:sz w:val="24"/>
          <w:szCs w:val="24"/>
        </w:rPr>
        <w:t xml:space="preserve">PREAMBLE</w:t>
      </w:r>
    </w:p>
    <w:p>
      <w:pPr>
        <w:pBdr>
          <w:bottom w:val="single" w:color="1A3C6E" w:sz="8" w:space="1"/>
        </w:pBdr>
        <w:spacing w:after="120" w:before="0"/>
      </w:pPr>
      <w:r>
        <w:t xml:space="preserve"/>
      </w:r>
    </w:p>
    <w:p>
      <w:pPr>
        <w:spacing w:after="100" w:before="80"/>
      </w:pPr>
      <w:r>
        <w:rPr>
          <w:rFonts w:ascii="Arial" w:cs="Arial" w:eastAsia="Arial" w:hAnsi="Arial"/>
          <w:color w:val="1A1A1A"/>
          <w:sz w:val="20"/>
          <w:szCs w:val="20"/>
        </w:rPr>
        <w:t xml:space="preserve">WHEREAS, DemoTech Enterprises (Pvt.) Ltd. (hereinafter referred to as "the Company") recognizes its obligation to maintain robust governance over all technology-related policies, procedures, and controls in accordance with applicable laws, regulations, and best practices;</w:t>
      </w:r>
    </w:p>
    <w:p>
      <w:pPr>
        <w:spacing w:after="80" w:before="0"/>
      </w:pPr>
      <w:r>
        <w:t xml:space="preserve"/>
      </w:r>
    </w:p>
    <w:p>
      <w:pPr>
        <w:spacing w:after="100" w:before="80"/>
      </w:pPr>
      <w:r>
        <w:rPr>
          <w:rFonts w:ascii="Arial" w:cs="Arial" w:eastAsia="Arial" w:hAnsi="Arial"/>
          <w:color w:val="1A1A1A"/>
          <w:sz w:val="20"/>
          <w:szCs w:val="20"/>
        </w:rPr>
        <w:t xml:space="preserve">WHEREAS, the Board of Directors acknowledges the importance of aligning technology operations with the requirements of the State Bank of Pakistan (SBP), the Securities &amp; Exchange Commission of Pakistan (SECP), and relevant international frameworks including PCI DSS v4.0.1 and ISO/IEC 27001;</w:t>
      </w:r>
    </w:p>
    <w:p>
      <w:pPr>
        <w:spacing w:after="80" w:before="0"/>
      </w:pPr>
      <w:r>
        <w:t xml:space="preserve"/>
      </w:r>
    </w:p>
    <w:p>
      <w:pPr>
        <w:spacing w:after="100" w:before="80"/>
      </w:pPr>
      <w:r>
        <w:rPr>
          <w:rFonts w:ascii="Arial" w:cs="Arial" w:eastAsia="Arial" w:hAnsi="Arial"/>
          <w:color w:val="1A1A1A"/>
          <w:sz w:val="20"/>
          <w:szCs w:val="20"/>
        </w:rPr>
        <w:t xml:space="preserve">WHEREAS, the Company has engaged ComplyVerse as its Governance, Risk &amp; Compliance (GRC) platform to facilitate structured policy management, evidence collection, and compliance tracking;</w:t>
      </w:r>
    </w:p>
    <w:p>
      <w:pPr>
        <w:spacing w:after="200" w:before="0"/>
      </w:pPr>
      <w:r>
        <w:t xml:space="preserve"/>
      </w:r>
    </w:p>
    <w:p>
      <w:pPr>
        <w:spacing w:after="140" w:before="280"/>
      </w:pPr>
      <w:r>
        <w:rPr>
          <w:rFonts w:ascii="Arial" w:cs="Arial" w:eastAsia="Arial" w:hAnsi="Arial"/>
          <w:b/>
          <w:bCs/>
          <w:color w:val="1A3C6E"/>
          <w:sz w:val="24"/>
          <w:szCs w:val="24"/>
        </w:rPr>
        <w:t xml:space="preserve">RESOLUTION</w:t>
      </w:r>
    </w:p>
    <w:p>
      <w:pPr>
        <w:pBdr>
          <w:bottom w:val="single" w:color="1A3C6E" w:sz="8" w:space="1"/>
        </w:pBdr>
        <w:spacing w:after="120" w:before="0"/>
      </w:pPr>
      <w:r>
        <w:t xml:space="preserve"/>
      </w:r>
    </w:p>
    <w:p>
      <w:pPr>
        <w:spacing w:after="100" w:before="80"/>
      </w:pPr>
      <w:r>
        <w:rPr>
          <w:rFonts w:ascii="Arial" w:cs="Arial" w:eastAsia="Arial" w:hAnsi="Arial"/>
          <w:color w:val="1A1A1A"/>
          <w:sz w:val="20"/>
          <w:szCs w:val="20"/>
        </w:rPr>
        <w:t xml:space="preserve">NOW, THEREFORE, BE IT RESOLVED by the Board of Directors of DemoTech Enterprises (Pvt.) Ltd., duly convened and constituted, as follows:</w:t>
      </w:r>
    </w:p>
    <w:p>
      <w:pPr>
        <w:spacing w:after="120" w:before="0"/>
      </w:pPr>
      <w:r>
        <w:t xml:space="preserve"/>
      </w:r>
    </w:p>
    <w:p>
      <w:pPr>
        <w:spacing w:after="100" w:before="80"/>
      </w:pPr>
      <w:r>
        <w:rPr>
          <w:rFonts w:ascii="Arial" w:cs="Arial" w:eastAsia="Arial" w:hAnsi="Arial"/>
          <w:b/>
          <w:bCs/>
          <w:color w:val="1A1A1A"/>
          <w:sz w:val="20"/>
          <w:szCs w:val="20"/>
        </w:rPr>
        <w:t xml:space="preserve">1.  APPROVAL OF TECHNOLOGY POLICIES</w:t>
      </w:r>
    </w:p>
    <w:p>
      <w:pPr>
        <w:spacing w:after="100" w:before="80"/>
      </w:pPr>
      <w:r>
        <w:rPr>
          <w:rFonts w:ascii="Arial" w:cs="Arial" w:eastAsia="Arial" w:hAnsi="Arial"/>
          <w:color w:val="1A1A1A"/>
          <w:sz w:val="20"/>
          <w:szCs w:val="20"/>
        </w:rPr>
        <w:t xml:space="preserve">    The Board hereby approves the following technology-related policies as presented and reviewed during this meeting:</w:t>
      </w:r>
    </w:p>
    <w:p>
      <w:pPr>
        <w:spacing w:after="60" w:before="60"/>
        <w:ind w:left="900"/>
      </w:pPr>
      <w:r>
        <w:rPr>
          <w:rFonts w:ascii="Arial" w:cs="Arial" w:eastAsia="Arial" w:hAnsi="Arial"/>
          <w:color w:val="1A1A1A"/>
          <w:sz w:val="20"/>
          <w:szCs w:val="20"/>
        </w:rPr>
        <w:t xml:space="preserve">•  Information Security Policy (ISP-001)</w:t>
      </w:r>
    </w:p>
    <w:p>
      <w:pPr>
        <w:spacing w:after="60" w:before="60"/>
        <w:ind w:left="900"/>
      </w:pPr>
      <w:r>
        <w:rPr>
          <w:rFonts w:ascii="Arial" w:cs="Arial" w:eastAsia="Arial" w:hAnsi="Arial"/>
          <w:color w:val="1A1A1A"/>
          <w:sz w:val="20"/>
          <w:szCs w:val="20"/>
        </w:rPr>
        <w:t xml:space="preserve">•  Data Classification and Handling Policy (DCP-002)</w:t>
      </w:r>
    </w:p>
    <w:p>
      <w:pPr>
        <w:spacing w:after="60" w:before="60"/>
        <w:ind w:left="900"/>
      </w:pPr>
      <w:r>
        <w:rPr>
          <w:rFonts w:ascii="Arial" w:cs="Arial" w:eastAsia="Arial" w:hAnsi="Arial"/>
          <w:color w:val="1A1A1A"/>
          <w:sz w:val="20"/>
          <w:szCs w:val="20"/>
        </w:rPr>
        <w:t xml:space="preserve">•  Cloud Computing and Outsourcing Policy (COP-003)</w:t>
      </w:r>
    </w:p>
    <w:p>
      <w:pPr>
        <w:spacing w:after="60" w:before="60"/>
        <w:ind w:left="900"/>
      </w:pPr>
      <w:r>
        <w:rPr>
          <w:rFonts w:ascii="Arial" w:cs="Arial" w:eastAsia="Arial" w:hAnsi="Arial"/>
          <w:color w:val="1A1A1A"/>
          <w:sz w:val="20"/>
          <w:szCs w:val="20"/>
        </w:rPr>
        <w:t xml:space="preserve">•  Incident Response and Business Continuity Policy (IRP-004)</w:t>
      </w:r>
    </w:p>
    <w:p>
      <w:pPr>
        <w:spacing w:after="60" w:before="60"/>
        <w:ind w:left="900"/>
      </w:pPr>
      <w:r>
        <w:rPr>
          <w:rFonts w:ascii="Arial" w:cs="Arial" w:eastAsia="Arial" w:hAnsi="Arial"/>
          <w:color w:val="1A1A1A"/>
          <w:sz w:val="20"/>
          <w:szCs w:val="20"/>
        </w:rPr>
        <w:t xml:space="preserve">•  Access Control and Identity Management Policy (ACP-005)</w:t>
      </w:r>
    </w:p>
    <w:p>
      <w:pPr>
        <w:spacing w:after="60" w:before="60"/>
        <w:ind w:left="900"/>
      </w:pPr>
      <w:r>
        <w:rPr>
          <w:rFonts w:ascii="Arial" w:cs="Arial" w:eastAsia="Arial" w:hAnsi="Arial"/>
          <w:color w:val="1A1A1A"/>
          <w:sz w:val="20"/>
          <w:szCs w:val="20"/>
        </w:rPr>
        <w:t xml:space="preserve">•  Vendor and Third-Party Risk Management Policy (VRP-006)</w:t>
      </w:r>
    </w:p>
    <w:p>
      <w:pPr>
        <w:spacing w:after="80" w:before="0"/>
      </w:pPr>
      <w:r>
        <w:t xml:space="preserve"/>
      </w:r>
    </w:p>
    <w:p>
      <w:pPr>
        <w:spacing w:after="100" w:before="80"/>
      </w:pPr>
      <w:r>
        <w:rPr>
          <w:rFonts w:ascii="Arial" w:cs="Arial" w:eastAsia="Arial" w:hAnsi="Arial"/>
          <w:b/>
          <w:bCs/>
          <w:color w:val="1A1A1A"/>
          <w:sz w:val="20"/>
          <w:szCs w:val="20"/>
        </w:rPr>
        <w:t xml:space="preserve">2.  DELEGATION OF AUTHORITY</w:t>
      </w:r>
    </w:p>
    <w:p>
      <w:pPr>
        <w:spacing w:after="100" w:before="80"/>
      </w:pPr>
      <w:r>
        <w:rPr>
          <w:rFonts w:ascii="Arial" w:cs="Arial" w:eastAsia="Arial" w:hAnsi="Arial"/>
          <w:color w:val="1A1A1A"/>
          <w:sz w:val="20"/>
          <w:szCs w:val="20"/>
        </w:rPr>
        <w:t xml:space="preserve">    The Board delegates authority to the Chief Information Security Officer (CISO) to implement, enforce, and periodically review the above-mentioned policies, and to ensure compliance with applicable regulatory requirements.</w:t>
      </w:r>
    </w:p>
    <w:p>
      <w:pPr>
        <w:spacing w:after="80" w:before="0"/>
      </w:pPr>
      <w:r>
        <w:t xml:space="preserve"/>
      </w:r>
    </w:p>
    <w:p>
      <w:pPr>
        <w:spacing w:after="100" w:before="80"/>
      </w:pPr>
      <w:r>
        <w:rPr>
          <w:rFonts w:ascii="Arial" w:cs="Arial" w:eastAsia="Arial" w:hAnsi="Arial"/>
          <w:b/>
          <w:bCs/>
          <w:color w:val="1A1A1A"/>
          <w:sz w:val="20"/>
          <w:szCs w:val="20"/>
        </w:rPr>
        <w:t xml:space="preserve">3.  ANNUAL REVIEW MANDATE</w:t>
      </w:r>
    </w:p>
    <w:p>
      <w:pPr>
        <w:spacing w:after="100" w:before="80"/>
      </w:pPr>
      <w:r>
        <w:rPr>
          <w:rFonts w:ascii="Arial" w:cs="Arial" w:eastAsia="Arial" w:hAnsi="Arial"/>
          <w:color w:val="1A1A1A"/>
          <w:sz w:val="20"/>
          <w:szCs w:val="20"/>
        </w:rPr>
        <w:t xml:space="preserve">    All technology policies approved herein shall be reviewed no less than annually, or upon material changes in regulatory requirements, threat landscape, or business operations, and shall be re-presented to the Board for re-approval.</w:t>
      </w:r>
    </w:p>
    <w:p>
      <w:pPr>
        <w:spacing w:after="80" w:before="0"/>
      </w:pPr>
      <w:r>
        <w:t xml:space="preserve"/>
      </w:r>
    </w:p>
    <w:p>
      <w:pPr>
        <w:spacing w:after="100" w:before="80"/>
      </w:pPr>
      <w:r>
        <w:rPr>
          <w:rFonts w:ascii="Arial" w:cs="Arial" w:eastAsia="Arial" w:hAnsi="Arial"/>
          <w:b/>
          <w:bCs/>
          <w:color w:val="1A1A1A"/>
          <w:sz w:val="20"/>
          <w:szCs w:val="20"/>
        </w:rPr>
        <w:t xml:space="preserve">4.  COMPLIANCE MONITORING</w:t>
      </w:r>
    </w:p>
    <w:p>
      <w:pPr>
        <w:spacing w:after="100" w:before="80"/>
      </w:pPr>
      <w:r>
        <w:rPr>
          <w:rFonts w:ascii="Arial" w:cs="Arial" w:eastAsia="Arial" w:hAnsi="Arial"/>
          <w:color w:val="1A1A1A"/>
          <w:sz w:val="20"/>
          <w:szCs w:val="20"/>
        </w:rPr>
        <w:t xml:space="preserve">    Management is directed to utilize the ComplyVerse GRC platform as the system of record for all compliance evidence, control mappings, and audit documentation, ensuring continuous monitoring and reporting to the Board on a quarterly basis.</w:t>
      </w:r>
    </w:p>
    <w:p>
      <w:pPr>
        <w:spacing w:after="200" w:before="0"/>
      </w:pPr>
      <w:r>
        <w:t xml:space="preserve"/>
      </w:r>
    </w:p>
    <w:p>
      <w:pPr>
        <w:spacing w:after="140" w:before="280"/>
      </w:pPr>
      <w:r>
        <w:rPr>
          <w:rFonts w:ascii="Arial" w:cs="Arial" w:eastAsia="Arial" w:hAnsi="Arial"/>
          <w:b/>
          <w:bCs/>
          <w:color w:val="1A3C6E"/>
          <w:sz w:val="24"/>
          <w:szCs w:val="24"/>
        </w:rPr>
        <w:t xml:space="preserve">CERTIFICATION</w:t>
      </w:r>
    </w:p>
    <w:p>
      <w:pPr>
        <w:pBdr>
          <w:bottom w:val="single" w:color="1A3C6E" w:sz="8" w:space="1"/>
        </w:pBdr>
        <w:spacing w:after="120" w:before="0"/>
      </w:pPr>
      <w:r>
        <w:t xml:space="preserve"/>
      </w:r>
    </w:p>
    <w:p>
      <w:pPr>
        <w:spacing w:after="100" w:before="80"/>
      </w:pPr>
      <w:r>
        <w:rPr>
          <w:rFonts w:ascii="Arial" w:cs="Arial" w:eastAsia="Arial" w:hAnsi="Arial"/>
          <w:color w:val="1A1A1A"/>
          <w:sz w:val="20"/>
          <w:szCs w:val="20"/>
        </w:rPr>
        <w:t xml:space="preserve">This resolution was duly moved, seconded, and unanimously adopted at the Board of Directors meeting held on the date specified above. A quorum was present throughout the proceedings.</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240"/>
            </w:tcMar>
          </w:tcPr>
          <w:p>
            <w:r>
              <w:rPr>
                <w:rFonts w:ascii="Arial" w:cs="Arial" w:eastAsia="Arial" w:hAnsi="Arial"/>
                <w:b/>
                <w:bCs/>
                <w:color w:val="555555"/>
                <w:sz w:val="18"/>
                <w:szCs w:val="18"/>
              </w:rPr>
              <w:t xml:space="preserve">Chairperson, Board of Directors</w:t>
            </w:r>
          </w:p>
          <w:p>
            <w:pPr>
              <w:pBdr>
                <w:bottom w:val="single" w:color="999999" w:sz="4" w:space="1"/>
              </w:pBdr>
              <w:spacing w:after="80" w:before="500"/>
            </w:pPr>
            <w:r>
              <w:t xml:space="preserve"/>
            </w:r>
          </w:p>
          <w:p>
            <w:r>
              <w:rPr>
                <w:rFonts w:ascii="Arial" w:cs="Arial" w:eastAsia="Arial" w:hAnsi="Arial"/>
                <w:color w:val="555555"/>
                <w:sz w:val="18"/>
                <w:szCs w:val="18"/>
              </w:rPr>
              <w:t xml:space="preserve">Name: _________________________</w:t>
            </w:r>
          </w:p>
          <w:p>
            <w:r>
              <w:rPr>
                <w:rFonts w:ascii="Arial" w:cs="Arial" w:eastAsia="Arial" w:hAnsi="Arial"/>
                <w:color w:val="555555"/>
                <w:sz w:val="18"/>
                <w:szCs w:val="18"/>
              </w:rPr>
              <w:t xml:space="preserve">Date:  _________________________</w:t>
            </w:r>
          </w:p>
        </w:tc>
        <w:tc>
          <w:tcPr>
            <w:tcW w:type="dxa" w:w="4860"/>
            <w:tcBorders>
              <w:top w:val="none" w:color="FFFFFF" w:sz="0"/>
              <w:left w:val="none" w:color="FFFFFF" w:sz="0"/>
              <w:bottom w:val="none" w:color="FFFFFF" w:sz="0"/>
              <w:right w:val="none" w:color="FFFFFF" w:sz="0"/>
            </w:tcBorders>
            <w:tcMar>
              <w:top w:type="dxa" w:w="80"/>
              <w:left w:type="dxa" w:w="240"/>
              <w:bottom w:type="dxa" w:w="80"/>
              <w:right w:type="dxa" w:w="0"/>
            </w:tcMar>
          </w:tcPr>
          <w:p>
            <w:r>
              <w:rPr>
                <w:rFonts w:ascii="Arial" w:cs="Arial" w:eastAsia="Arial" w:hAnsi="Arial"/>
                <w:b/>
                <w:bCs/>
                <w:color w:val="555555"/>
                <w:sz w:val="18"/>
                <w:szCs w:val="18"/>
              </w:rPr>
              <w:t xml:space="preserve">Company Secretary</w:t>
            </w:r>
          </w:p>
          <w:p>
            <w:pPr>
              <w:pBdr>
                <w:bottom w:val="single" w:color="999999" w:sz="4" w:space="1"/>
              </w:pBdr>
              <w:spacing w:after="80" w:before="500"/>
            </w:pPr>
            <w:r>
              <w:t xml:space="preserve"/>
            </w:r>
          </w:p>
          <w:p>
            <w:r>
              <w:rPr>
                <w:rFonts w:ascii="Arial" w:cs="Arial" w:eastAsia="Arial" w:hAnsi="Arial"/>
                <w:color w:val="555555"/>
                <w:sz w:val="18"/>
                <w:szCs w:val="18"/>
              </w:rPr>
              <w:t xml:space="preserve">Name: _________________________</w:t>
            </w:r>
          </w:p>
          <w:p>
            <w:r>
              <w:rPr>
                <w:rFonts w:ascii="Arial" w:cs="Arial" w:eastAsia="Arial" w:hAnsi="Arial"/>
                <w:color w:val="555555"/>
                <w:sz w:val="18"/>
                <w:szCs w:val="18"/>
              </w:rPr>
              <w:t xml:space="preserve">Date:  _________________________</w:t>
            </w:r>
          </w:p>
        </w:tc>
      </w:tr>
    </w:tbl>
    <w:p>
      <w:pPr>
        <w:spacing w:after="280" w:before="0"/>
      </w:pPr>
      <w:r>
        <w:t xml:space="preserve"/>
      </w:r>
    </w:p>
    <w:p>
      <w:pPr>
        <w:pBdr>
          <w:left w:val="single" w:color="1A3C6E" w:sz="16" w:space="1"/>
        </w:pBdr>
        <w:shd w:fill="F4F6FA" w:val="clear"/>
        <w:spacing w:after="0" w:before="0"/>
        <w:ind w:left="240"/>
      </w:pPr>
      <w:r>
        <w:rPr>
          <w:rFonts w:ascii="Arial" w:cs="Arial" w:eastAsia="Arial" w:hAnsi="Arial"/>
          <w:color w:val="555555"/>
          <w:sz w:val="16"/>
          <w:szCs w:val="16"/>
        </w:rPr>
        <w:t xml:space="preserve">Official Use Only  |  Document Ref: CV-BR-2025-TECH-007  |  ComplyVerse GRC Platform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2026-04-01T07:30:44.435Z</dcterms:created>
  <dcterms:modified xsi:type="dcterms:W3CDTF">2026-04-01T07:30:44.436Z</dcterms:modified>
</cp:coreProperties>
</file>

<file path=docProps/custom.xml><?xml version="1.0" encoding="utf-8"?>
<Properties xmlns="http://schemas.openxmlformats.org/officeDocument/2006/custom-properties" xmlns:vt="http://schemas.openxmlformats.org/officeDocument/2006/docPropsVTypes"/>
</file>