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4D2E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COMPLYVERSE  |  BUSINESS IMPACT ANALYSIS (BIA) REPORT</w:t>
      </w:r>
    </w:p>
    <w:p>
      <w:pPr>
        <w:shd w:fill="1A4D2E" w:val="clear"/>
        <w:spacing w:after="280" w:before="60"/>
      </w:pPr>
      <w:r>
        <w:rPr>
          <w:rFonts w:ascii="Arial" w:cs="Arial" w:eastAsia="Arial" w:hAnsi="Arial"/>
          <w:color w:val="A8D8B8"/>
          <w:sz w:val="22"/>
          <w:szCs w:val="22"/>
        </w:rPr>
        <w:t xml:space="preserve">RTO, RPO &amp; Critical Path Recovery Estimates — SBP ETGRMF Compliance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6F0E0" w:sz="4"/>
              <w:left w:val="single" w:color="D6F0E0" w:sz="4"/>
              <w:bottom w:val="single" w:color="D6F0E0" w:sz="4"/>
              <w:right w:val="single" w:color="D6F0E0" w:sz="4"/>
            </w:tcBorders>
            <w:shd w:fill="D6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17"/>
                <w:szCs w:val="17"/>
              </w:rPr>
              <w:t xml:space="preserve">Document Ref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CV-BCP-BIA-003</w:t>
            </w:r>
          </w:p>
        </w:tc>
        <w:tc>
          <w:tcPr>
            <w:tcW w:type="dxa" w:w="2340"/>
            <w:tcBorders>
              <w:top w:val="single" w:color="D6F0E0" w:sz="4"/>
              <w:left w:val="single" w:color="D6F0E0" w:sz="4"/>
              <w:bottom w:val="single" w:color="D6F0E0" w:sz="4"/>
              <w:right w:val="single" w:color="D6F0E0" w:sz="4"/>
            </w:tcBorders>
            <w:shd w:fill="D6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17"/>
                <w:szCs w:val="17"/>
              </w:rPr>
              <w:t xml:space="preserve">BIA Conducted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March 2025</w:t>
            </w:r>
          </w:p>
        </w:tc>
        <w:tc>
          <w:tcPr>
            <w:tcW w:type="dxa" w:w="2340"/>
            <w:tcBorders>
              <w:top w:val="single" w:color="D6F0E0" w:sz="4"/>
              <w:left w:val="single" w:color="D6F0E0" w:sz="4"/>
              <w:bottom w:val="single" w:color="D6F0E0" w:sz="4"/>
              <w:right w:val="single" w:color="D6F0E0" w:sz="4"/>
            </w:tcBorders>
            <w:shd w:fill="D6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17"/>
                <w:szCs w:val="17"/>
              </w:rPr>
              <w:t xml:space="preserve">Next Review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March 2026</w:t>
            </w:r>
          </w:p>
        </w:tc>
        <w:tc>
          <w:tcPr>
            <w:tcW w:type="dxa" w:w="2340"/>
            <w:tcBorders>
              <w:top w:val="single" w:color="D6F0E0" w:sz="4"/>
              <w:left w:val="single" w:color="D6F0E0" w:sz="4"/>
              <w:bottom w:val="single" w:color="D6F0E0" w:sz="4"/>
              <w:right w:val="single" w:color="D6F0E0" w:sz="4"/>
            </w:tcBorders>
            <w:shd w:fill="D6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17"/>
                <w:szCs w:val="17"/>
              </w:rPr>
              <w:t xml:space="preserve">Framework Ref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SBP ETGRMF — BCP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4D2E"/>
          <w:sz w:val="24"/>
          <w:szCs w:val="24"/>
        </w:rPr>
        <w:t xml:space="preserve">1. EXECUTIVE SUMMARY</w:t>
      </w:r>
    </w:p>
    <w:p>
      <w:pPr>
        <w:pBdr>
          <w:bottom w:val="single" w:color="1A4D2E" w:sz="8" w:space="1"/>
        </w:pBdr>
        <w:spacing w:after="12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DemoTech Enterprises (Pvt.) Ltd. conducted a comprehensive Business Impact Analysis (BIA) in March 2025 to identify critical business functions and IT systems, quantify the impact of disruptions, and establish recovery objectives aligned with SBP ETGRMF requirements.</w:t>
      </w:r>
    </w:p>
    <w:p>
      <w:pPr>
        <w:spacing w:after="8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Key findings of this BIA are: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5 systems are classified as Tier 1 (Mission Critical) with RTOs of 1–4 hours and RPOs of 15 minutes–1 hour.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The Core Banking System (T24) represents the highest financial impact, with estimated losses exceeding PKR 20M per day of downtime.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Payment Processing and SWIFT Gateway carry the highest regulatory risk due to SBP settlement and interbank obligations.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All Tier 1 systems have documented critical path recovery sequences and have been successfully tested in DR exercises.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Current DR infrastructure is assessed as capable of meeting all Tier 1 RTOs based on the March 2025 DR exercise.</w:t>
      </w:r>
    </w:p>
    <w:p>
      <w:pPr>
        <w:spacing w:after="20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4D2E"/>
          <w:sz w:val="24"/>
          <w:szCs w:val="24"/>
        </w:rPr>
        <w:t xml:space="preserve">2. BIA METHODOLOGY</w:t>
      </w:r>
    </w:p>
    <w:p>
      <w:pPr>
        <w:pBdr>
          <w:bottom w:val="single" w:color="1A4D2E" w:sz="8" w:space="1"/>
        </w:pBd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4D2E" w:sz="6"/>
              <w:left w:val="single" w:color="1A4D2E" w:sz="6"/>
              <w:bottom w:val="single" w:color="1A4D2E" w:sz="6"/>
              <w:right w:val="single" w:color="1A4D2E" w:sz="6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7160"/>
            <w:tcBorders>
              <w:top w:val="single" w:color="1A4D2E" w:sz="6"/>
              <w:left w:val="single" w:color="1A4D2E" w:sz="6"/>
              <w:bottom w:val="single" w:color="1A4D2E" w:sz="6"/>
              <w:right w:val="single" w:color="1A4D2E" w:sz="6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19"/>
                <w:szCs w:val="19"/>
              </w:rPr>
              <w:t xml:space="preserve">1 — Scope Definition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Identified all business functions and supporting IT systems in scope, in consultation with department heads and IT operations.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19"/>
                <w:szCs w:val="19"/>
              </w:rPr>
              <w:t xml:space="preserve">2 — Impact Interviews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Structured interviews with function owners to quantify financial, regulatory, reputational, and operational impacts at defined outage durations (1hr, 4hr, 8hr, 24hr, 72hr).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19"/>
                <w:szCs w:val="19"/>
              </w:rPr>
              <w:t xml:space="preserve">3 — RTO/RPO Determination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Maximum tolerable downtime (MTD) and minimum business continuity objective (MBCO) established per function; RTO/RPO derived accordingly.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19"/>
                <w:szCs w:val="19"/>
              </w:rPr>
              <w:t xml:space="preserve">4 — Critical Path Mapping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Recovery sequences mapped for Tier 1 systems; dependencies identified (data, network, application, vendor, staffing).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19"/>
                <w:szCs w:val="19"/>
              </w:rPr>
              <w:t xml:space="preserve">5 — Validation &amp; Approval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BIA findings reviewed by CISO, COO, and Head of IT; approved by Board Risk Committee.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4D2E"/>
          <w:sz w:val="24"/>
          <w:szCs w:val="24"/>
        </w:rPr>
        <w:t xml:space="preserve">3. CONSOLIDATED BIA RESULTS</w:t>
      </w:r>
    </w:p>
    <w:p>
      <w:pPr>
        <w:pBdr>
          <w:bottom w:val="single" w:color="1A4D2E" w:sz="8" w:space="1"/>
        </w:pBd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000"/>
        <w:gridCol w:w="1440"/>
        <w:gridCol w:w="1440"/>
        <w:gridCol w:w="1000"/>
        <w:gridCol w:w="760"/>
        <w:gridCol w:w="760"/>
        <w:gridCol w:w="760"/>
        <w:gridCol w:w="520"/>
      </w:tblGrid>
      <w:tr>
        <w:tc>
          <w:tcPr>
            <w:tcW w:type="dxa" w:w="1680"/>
            <w:tcBorders>
              <w:top w:val="single" w:color="1A4D2E" w:sz="6"/>
              <w:left w:val="single" w:color="1A4D2E" w:sz="6"/>
              <w:bottom w:val="single" w:color="1A4D2E" w:sz="6"/>
              <w:right w:val="single" w:color="1A4D2E" w:sz="6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 Function</w:t>
            </w:r>
          </w:p>
        </w:tc>
        <w:tc>
          <w:tcPr>
            <w:tcW w:type="dxa" w:w="1000"/>
            <w:tcBorders>
              <w:top w:val="single" w:color="1A4D2E" w:sz="6"/>
              <w:left w:val="single" w:color="1A4D2E" w:sz="6"/>
              <w:bottom w:val="single" w:color="1A4D2E" w:sz="6"/>
              <w:right w:val="single" w:color="1A4D2E" w:sz="6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Dept</w:t>
            </w:r>
          </w:p>
        </w:tc>
        <w:tc>
          <w:tcPr>
            <w:tcW w:type="dxa" w:w="1440"/>
            <w:tcBorders>
              <w:top w:val="single" w:color="1A4D2E" w:sz="6"/>
              <w:left w:val="single" w:color="1A4D2E" w:sz="6"/>
              <w:bottom w:val="single" w:color="1A4D2E" w:sz="6"/>
              <w:right w:val="single" w:color="1A4D2E" w:sz="6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Financial Impact/Day</w:t>
            </w:r>
          </w:p>
        </w:tc>
        <w:tc>
          <w:tcPr>
            <w:tcW w:type="dxa" w:w="1440"/>
            <w:tcBorders>
              <w:top w:val="single" w:color="1A4D2E" w:sz="6"/>
              <w:left w:val="single" w:color="1A4D2E" w:sz="6"/>
              <w:bottom w:val="single" w:color="1A4D2E" w:sz="6"/>
              <w:right w:val="single" w:color="1A4D2E" w:sz="6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Regulatory Impact</w:t>
            </w:r>
          </w:p>
        </w:tc>
        <w:tc>
          <w:tcPr>
            <w:tcW w:type="dxa" w:w="1000"/>
            <w:tcBorders>
              <w:top w:val="single" w:color="1A4D2E" w:sz="6"/>
              <w:left w:val="single" w:color="1A4D2E" w:sz="6"/>
              <w:bottom w:val="single" w:color="1A4D2E" w:sz="6"/>
              <w:right w:val="single" w:color="1A4D2E" w:sz="6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Rep. Impact</w:t>
            </w:r>
          </w:p>
        </w:tc>
        <w:tc>
          <w:tcPr>
            <w:tcW w:type="dxa" w:w="760"/>
            <w:tcBorders>
              <w:top w:val="single" w:color="1A4D2E" w:sz="6"/>
              <w:left w:val="single" w:color="1A4D2E" w:sz="6"/>
              <w:bottom w:val="single" w:color="1A4D2E" w:sz="6"/>
              <w:right w:val="single" w:color="1A4D2E" w:sz="6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RTO</w:t>
            </w:r>
          </w:p>
        </w:tc>
        <w:tc>
          <w:tcPr>
            <w:tcW w:type="dxa" w:w="760"/>
            <w:tcBorders>
              <w:top w:val="single" w:color="1A4D2E" w:sz="6"/>
              <w:left w:val="single" w:color="1A4D2E" w:sz="6"/>
              <w:bottom w:val="single" w:color="1A4D2E" w:sz="6"/>
              <w:right w:val="single" w:color="1A4D2E" w:sz="6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RPO</w:t>
            </w:r>
          </w:p>
        </w:tc>
        <w:tc>
          <w:tcPr>
            <w:tcW w:type="dxa" w:w="760"/>
            <w:tcBorders>
              <w:top w:val="single" w:color="1A4D2E" w:sz="6"/>
              <w:left w:val="single" w:color="1A4D2E" w:sz="6"/>
              <w:bottom w:val="single" w:color="1A4D2E" w:sz="6"/>
              <w:right w:val="single" w:color="1A4D2E" w:sz="6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520"/>
            <w:tcBorders>
              <w:top w:val="single" w:color="1A4D2E" w:sz="6"/>
              <w:left w:val="single" w:color="1A4D2E" w:sz="6"/>
              <w:bottom w:val="single" w:color="1A4D2E" w:sz="6"/>
              <w:right w:val="single" w:color="1A4D2E" w:sz="6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Crit. Path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Payment Processing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Operations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PKR 5M–15M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 — SBP settlement breach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Severe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1 hr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9"/>
                <w:szCs w:val="19"/>
              </w:rPr>
              <w:t xml:space="preserve">15 min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T1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8C3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Internet Banking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Digital Channels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PKR 2M–8M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 — SECP reporting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2 hrs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9"/>
                <w:szCs w:val="19"/>
              </w:rPr>
              <w:t xml:space="preserve">30 min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T1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8C3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Core Banking (T24)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IT / Core Ops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PKR 20M+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Critical — SBP mandatory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Severe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4 hrs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9"/>
                <w:szCs w:val="19"/>
              </w:rPr>
              <w:t xml:space="preserve">1 hr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9"/>
                <w:szCs w:val="19"/>
              </w:rPr>
              <w:t xml:space="preserve">T1/T2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8C3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SWIFT / Interbank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Treasury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PKR 10M+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Critical — SWIFT compliance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Severe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2 hrs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9"/>
                <w:szCs w:val="19"/>
              </w:rPr>
              <w:t xml:space="preserve">30 min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T1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8C3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ATM Network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Retail Banking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PKR 3M–7M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4 hrs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9"/>
                <w:szCs w:val="19"/>
              </w:rPr>
              <w:t xml:space="preserve">1 hr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9"/>
                <w:szCs w:val="19"/>
              </w:rPr>
              <w:t xml:space="preserve">T1/T2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8C3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Credit Risk System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Risk Management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PKR 1M–3M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 — BASEL reporting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8 hrs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9"/>
                <w:szCs w:val="19"/>
              </w:rPr>
              <w:t xml:space="preserve">4 hrs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9"/>
                <w:szCs w:val="19"/>
              </w:rPr>
              <w:t xml:space="preserve">T2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AML Monitoring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Compliance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PKR 0.5M–2M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 — SBP AML directive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8 hrs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9"/>
                <w:szCs w:val="19"/>
              </w:rPr>
              <w:t xml:space="preserve">4 hrs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9"/>
                <w:szCs w:val="19"/>
              </w:rPr>
              <w:t xml:space="preserve">T2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Treasury Mgmt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Treasury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PKR 5M–10M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4 hrs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9"/>
                <w:szCs w:val="19"/>
              </w:rPr>
              <w:t xml:space="preserve">2 hrs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9"/>
                <w:szCs w:val="19"/>
              </w:rPr>
              <w:t xml:space="preserve">T1/T2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CDD/KYC Onboarding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Compliance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PKR 0.2M–1M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 — KYC regulations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Low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24 hrs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9"/>
                <w:szCs w:val="19"/>
              </w:rPr>
              <w:t xml:space="preserve">8 hrs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9"/>
                <w:szCs w:val="19"/>
              </w:rPr>
              <w:t xml:space="preserve">T1/T2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Branch Operations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Retail Banking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PKR 1M–4M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8 hrs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9"/>
                <w:szCs w:val="19"/>
              </w:rPr>
              <w:t xml:space="preserve">4 hrs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9"/>
                <w:szCs w:val="19"/>
              </w:rPr>
              <w:t xml:space="preserve">T2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9"/>
                <w:szCs w:val="19"/>
              </w:rPr>
              <w:t xml:space="preserve">No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4D2E"/>
          <w:sz w:val="24"/>
          <w:szCs w:val="24"/>
        </w:rPr>
        <w:t xml:space="preserve">4. IMPACT ANALYSIS — OUTAGE DURATION THRESHOLDS</w:t>
      </w:r>
    </w:p>
    <w:p>
      <w:pPr>
        <w:pBdr>
          <w:bottom w:val="single" w:color="1A4D2E" w:sz="8" w:space="1"/>
        </w:pBd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c>
          <w:tcPr>
            <w:tcW w:type="dxa" w:w="2000"/>
            <w:tcBorders>
              <w:top w:val="single" w:color="1A4D2E" w:sz="6"/>
              <w:left w:val="single" w:color="1A4D2E" w:sz="6"/>
              <w:bottom w:val="single" w:color="1A4D2E" w:sz="6"/>
              <w:right w:val="single" w:color="1A4D2E" w:sz="6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 Category</w:t>
            </w:r>
          </w:p>
        </w:tc>
        <w:tc>
          <w:tcPr>
            <w:tcW w:type="dxa" w:w="1840"/>
            <w:tcBorders>
              <w:top w:val="single" w:color="1A4D2E" w:sz="6"/>
              <w:left w:val="single" w:color="1A4D2E" w:sz="6"/>
              <w:bottom w:val="single" w:color="1A4D2E" w:sz="6"/>
              <w:right w:val="single" w:color="1A4D2E" w:sz="6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&lt; 1 Hour</w:t>
            </w:r>
          </w:p>
        </w:tc>
        <w:tc>
          <w:tcPr>
            <w:tcW w:type="dxa" w:w="1840"/>
            <w:tcBorders>
              <w:top w:val="single" w:color="1A4D2E" w:sz="6"/>
              <w:left w:val="single" w:color="1A4D2E" w:sz="6"/>
              <w:bottom w:val="single" w:color="1A4D2E" w:sz="6"/>
              <w:right w:val="single" w:color="1A4D2E" w:sz="6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1–4 Hours</w:t>
            </w:r>
          </w:p>
        </w:tc>
        <w:tc>
          <w:tcPr>
            <w:tcW w:type="dxa" w:w="1840"/>
            <w:tcBorders>
              <w:top w:val="single" w:color="1A4D2E" w:sz="6"/>
              <w:left w:val="single" w:color="1A4D2E" w:sz="6"/>
              <w:bottom w:val="single" w:color="1A4D2E" w:sz="6"/>
              <w:right w:val="single" w:color="1A4D2E" w:sz="6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4–24 Hours</w:t>
            </w:r>
          </w:p>
        </w:tc>
        <w:tc>
          <w:tcPr>
            <w:tcW w:type="dxa" w:w="1840"/>
            <w:tcBorders>
              <w:top w:val="single" w:color="1A4D2E" w:sz="6"/>
              <w:left w:val="single" w:color="1A4D2E" w:sz="6"/>
              <w:bottom w:val="single" w:color="1A4D2E" w:sz="6"/>
              <w:right w:val="single" w:color="1A4D2E" w:sz="6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&gt; 24 Hours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19"/>
                <w:szCs w:val="19"/>
              </w:rPr>
              <w:t xml:space="preserve">Financial Loss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8C3A"/>
                <w:sz w:val="19"/>
                <w:szCs w:val="19"/>
              </w:rPr>
              <w:t xml:space="preserve">Minimal / Recoverable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60A"/>
                <w:sz w:val="19"/>
                <w:szCs w:val="19"/>
              </w:rPr>
              <w:t xml:space="preserve">PKR 1M–5M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PKR 5M–30M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PKR 30M+ (critical)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19"/>
                <w:szCs w:val="19"/>
              </w:rPr>
              <w:t xml:space="preserve">Regulatory Breach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8C3A"/>
                <w:sz w:val="19"/>
                <w:szCs w:val="19"/>
              </w:rPr>
              <w:t xml:space="preserve">None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60A"/>
                <w:sz w:val="19"/>
                <w:szCs w:val="19"/>
              </w:rPr>
              <w:t xml:space="preserve">Risk of SBP breach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Likely SBP notification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Mandatory reporting + penalty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19"/>
                <w:szCs w:val="19"/>
              </w:rPr>
              <w:t xml:space="preserve">Customer Impact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8C3A"/>
                <w:sz w:val="19"/>
                <w:szCs w:val="19"/>
              </w:rPr>
              <w:t xml:space="preserve">Negligible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60A"/>
                <w:sz w:val="19"/>
                <w:szCs w:val="19"/>
              </w:rPr>
              <w:t xml:space="preserve">Moderate — service delay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 — complaints / churn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Severe — media escalation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19"/>
                <w:szCs w:val="19"/>
              </w:rPr>
              <w:t xml:space="preserve">Reputational Damage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8C3A"/>
                <w:sz w:val="19"/>
                <w:szCs w:val="19"/>
              </w:rPr>
              <w:t xml:space="preserve">None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60A"/>
                <w:sz w:val="19"/>
                <w:szCs w:val="19"/>
              </w:rPr>
              <w:t xml:space="preserve">Low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Moderate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Severe — requires PR response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19"/>
                <w:szCs w:val="19"/>
              </w:rPr>
              <w:t xml:space="preserve">Operational Continuity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8C3A"/>
                <w:sz w:val="19"/>
                <w:szCs w:val="19"/>
              </w:rPr>
              <w:t xml:space="preserve">Maintained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60A"/>
                <w:sz w:val="19"/>
                <w:szCs w:val="19"/>
              </w:rPr>
              <w:t xml:space="preserve">Partial manual workaround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Degraded service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Cessation of critical functions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4D2E"/>
          <w:sz w:val="24"/>
          <w:szCs w:val="24"/>
        </w:rPr>
        <w:t xml:space="preserve">5. CRITICAL PATH RECOVERY ESTIMATES — SUMMARY</w:t>
      </w:r>
    </w:p>
    <w:p>
      <w:pPr>
        <w:pBdr>
          <w:bottom w:val="single" w:color="1A4D2E" w:sz="8" w:space="1"/>
        </w:pBdr>
        <w:spacing w:after="12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summarizes the critical path recovery estimates for all Tier 1 systems. Full recovery sequences are documented in the Critical Path Analysis report (CV-BCP-CPA-002).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3560"/>
      </w:tblGrid>
      <w:tr>
        <w:tc>
          <w:tcPr>
            <w:tcW w:type="dxa" w:w="2200"/>
            <w:tcBorders>
              <w:top w:val="single" w:color="1A4D2E" w:sz="6"/>
              <w:left w:val="single" w:color="1A4D2E" w:sz="6"/>
              <w:bottom w:val="single" w:color="1A4D2E" w:sz="6"/>
              <w:right w:val="single" w:color="1A4D2E" w:sz="6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1A4D2E" w:sz="6"/>
              <w:left w:val="single" w:color="1A4D2E" w:sz="6"/>
              <w:bottom w:val="single" w:color="1A4D2E" w:sz="6"/>
              <w:right w:val="single" w:color="1A4D2E" w:sz="6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Agreed RTO</w:t>
            </w:r>
          </w:p>
        </w:tc>
        <w:tc>
          <w:tcPr>
            <w:tcW w:type="dxa" w:w="1200"/>
            <w:tcBorders>
              <w:top w:val="single" w:color="1A4D2E" w:sz="6"/>
              <w:left w:val="single" w:color="1A4D2E" w:sz="6"/>
              <w:bottom w:val="single" w:color="1A4D2E" w:sz="6"/>
              <w:right w:val="single" w:color="1A4D2E" w:sz="6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Agreed RPO</w:t>
            </w:r>
          </w:p>
        </w:tc>
        <w:tc>
          <w:tcPr>
            <w:tcW w:type="dxa" w:w="1200"/>
            <w:tcBorders>
              <w:top w:val="single" w:color="1A4D2E" w:sz="6"/>
              <w:left w:val="single" w:color="1A4D2E" w:sz="6"/>
              <w:bottom w:val="single" w:color="1A4D2E" w:sz="6"/>
              <w:right w:val="single" w:color="1A4D2E" w:sz="6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Tested RTO</w:t>
            </w:r>
          </w:p>
        </w:tc>
        <w:tc>
          <w:tcPr>
            <w:tcW w:type="dxa" w:w="3560"/>
            <w:tcBorders>
              <w:top w:val="single" w:color="1A4D2E" w:sz="6"/>
              <w:left w:val="single" w:color="1A4D2E" w:sz="6"/>
              <w:bottom w:val="single" w:color="1A4D2E" w:sz="6"/>
              <w:right w:val="single" w:color="1A4D2E" w:sz="6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Critical Path Summary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Payment Processing Engine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1 hr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9"/>
                <w:szCs w:val="19"/>
              </w:rPr>
              <w:t xml:space="preserve">15 min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8C3A"/>
                <w:sz w:val="19"/>
                <w:szCs w:val="19"/>
              </w:rPr>
              <w:t xml:space="preserve">52 min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6-step path: Detection → Declaration → Failover → Spinup → Validation → Handoff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Internet Banking Portal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9"/>
                <w:szCs w:val="19"/>
              </w:rPr>
              <w:t xml:space="preserve">30 min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8C3A"/>
                <w:sz w:val="19"/>
                <w:szCs w:val="19"/>
              </w:rPr>
              <w:t xml:space="preserve">1hr 45min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6-step path: Alert → Declaration → LB Reconfig → App Restore → Testing → Go-Live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Core Banking (T24)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4 hrs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9"/>
                <w:szCs w:val="19"/>
              </w:rPr>
              <w:t xml:space="preserve">1 hr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8C3A"/>
                <w:sz w:val="19"/>
                <w:szCs w:val="19"/>
              </w:rPr>
              <w:t xml:space="preserve">3hr 50min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6-step path: Detection → RCA → DR Activation → CBS Restore → Peripheral Reconnect → Parallel Run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SWIFT Gateway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9"/>
                <w:szCs w:val="19"/>
              </w:rPr>
              <w:t xml:space="preserve">30 min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8C3A"/>
                <w:sz w:val="19"/>
                <w:szCs w:val="19"/>
              </w:rPr>
              <w:t xml:space="preserve">1hr 55min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4-step path: Detection → Failover → Message Queue Recovery → SWIFT Reconnect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ATM Network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4 hrs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9"/>
                <w:szCs w:val="19"/>
              </w:rPr>
              <w:t xml:space="preserve">1 hr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8C3A"/>
                <w:sz w:val="19"/>
                <w:szCs w:val="19"/>
              </w:rPr>
              <w:t xml:space="preserve">3hr 20min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5-step path: Alert → Card Processor Failover → ATM Network Reroute → Testing → Restore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4D2E"/>
          <w:sz w:val="24"/>
          <w:szCs w:val="24"/>
        </w:rPr>
        <w:t xml:space="preserve">6. GAPS &amp; RECOMMENDATIONS</w:t>
      </w:r>
    </w:p>
    <w:p>
      <w:pPr>
        <w:pBdr>
          <w:bottom w:val="single" w:color="1A4D2E" w:sz="8" w:space="1"/>
        </w:pBd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160"/>
      </w:tblGrid>
      <w:tr>
        <w:tc>
          <w:tcPr>
            <w:tcW w:type="dxa" w:w="3400"/>
            <w:tcBorders>
              <w:top w:val="single" w:color="1A4D2E" w:sz="6"/>
              <w:left w:val="single" w:color="1A4D2E" w:sz="6"/>
              <w:bottom w:val="single" w:color="1A4D2E" w:sz="6"/>
              <w:right w:val="single" w:color="1A4D2E" w:sz="6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/ Finding</w:t>
            </w:r>
          </w:p>
        </w:tc>
        <w:tc>
          <w:tcPr>
            <w:tcW w:type="dxa" w:w="1800"/>
            <w:tcBorders>
              <w:top w:val="single" w:color="1A4D2E" w:sz="6"/>
              <w:left w:val="single" w:color="1A4D2E" w:sz="6"/>
              <w:bottom w:val="single" w:color="1A4D2E" w:sz="6"/>
              <w:right w:val="single" w:color="1A4D2E" w:sz="6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Level</w:t>
            </w:r>
          </w:p>
        </w:tc>
        <w:tc>
          <w:tcPr>
            <w:tcW w:type="dxa" w:w="4160"/>
            <w:tcBorders>
              <w:top w:val="single" w:color="1A4D2E" w:sz="6"/>
              <w:left w:val="single" w:color="1A4D2E" w:sz="6"/>
              <w:bottom w:val="single" w:color="1A4D2E" w:sz="6"/>
              <w:right w:val="single" w:color="1A4D2E" w:sz="6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AML system RPO of 4 hrs may not meet future SBP directive requirements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9"/>
                <w:szCs w:val="19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Evaluate near-real-time replication for AML data; revisit at next BIA cycle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Vendor SLA for T24 L3 support is 2 hrs; this consumes 50% of RTO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Negotiate enhanced SLA; maintain internal T24 expertise to reduce vendor dependency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Branch Operations rely on manual workarounds &gt;8 hrs; documentation incomplete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9"/>
                <w:szCs w:val="19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Complete offline operations manual; train branch managers; include in next DR drill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Warehouse RTO of 72 hrs not formally tested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8C3A"/>
                <w:sz w:val="19"/>
                <w:szCs w:val="19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Include DWH in next annual DR exercise to validate recovery capability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4D2E"/>
          <w:sz w:val="24"/>
          <w:szCs w:val="24"/>
        </w:rPr>
        <w:t xml:space="preserve">7. BIA APPROVAL &amp; SIGN-OFF</w:t>
      </w:r>
    </w:p>
    <w:p>
      <w:pPr>
        <w:pBdr>
          <w:bottom w:val="single" w:color="1A4D2E" w:sz="8" w:space="1"/>
        </w:pBdr>
        <w:spacing w:after="12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Business Impact Analysis report has been reviewed and formally approved by the following senior management representatives: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c>
          <w:tcPr>
            <w:tcW w:type="dxa" w:w="3100"/>
            <w:tcBorders>
              <w:top w:val="single" w:color="D6F0E0" w:sz="6"/>
              <w:left w:val="single" w:color="D6F0E0" w:sz="6"/>
              <w:bottom w:val="single" w:color="D6F0E0" w:sz="6"/>
              <w:right w:val="single" w:color="D6F0E0" w:sz="6"/>
            </w:tcBorders>
            <w:tcMar>
              <w:top w:type="dxa" w:w="160"/>
              <w:left w:type="dxa" w:w="180"/>
              <w:bottom w:type="dxa" w:w="2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17"/>
                <w:szCs w:val="17"/>
              </w:rPr>
              <w:t xml:space="preserve">Chief Information Security Officer</w:t>
            </w:r>
          </w:p>
          <w:p>
            <w:pPr>
              <w:pBdr>
                <w:bottom w:val="single" w:color="999999" w:sz="4" w:space="1"/>
              </w:pBdr>
              <w:spacing w:after="80" w:before="46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Mr. Imran Ali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Date: March 28, 2025</w:t>
            </w:r>
          </w:p>
        </w:tc>
        <w:tc>
          <w:tcPr>
            <w:tcW w:type="dxa" w:w="3100"/>
            <w:tcBorders>
              <w:top w:val="single" w:color="D6F0E0" w:sz="6"/>
              <w:left w:val="single" w:color="D6F0E0" w:sz="6"/>
              <w:bottom w:val="single" w:color="D6F0E0" w:sz="6"/>
              <w:right w:val="single" w:color="D6F0E0" w:sz="6"/>
            </w:tcBorders>
            <w:tcMar>
              <w:top w:type="dxa" w:w="160"/>
              <w:left w:type="dxa" w:w="180"/>
              <w:bottom w:type="dxa" w:w="2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17"/>
                <w:szCs w:val="17"/>
              </w:rPr>
              <w:t xml:space="preserve">Chief Operating Officer</w:t>
            </w:r>
          </w:p>
          <w:p>
            <w:pPr>
              <w:pBdr>
                <w:bottom w:val="single" w:color="999999" w:sz="4" w:space="1"/>
              </w:pBdr>
              <w:spacing w:after="80" w:before="46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Ms. Amna Zafar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Date: March 28, 2025</w:t>
            </w:r>
          </w:p>
        </w:tc>
        <w:tc>
          <w:tcPr>
            <w:tcW w:type="dxa" w:w="3160"/>
            <w:tcBorders>
              <w:top w:val="single" w:color="D6F0E0" w:sz="6"/>
              <w:left w:val="single" w:color="D6F0E0" w:sz="6"/>
              <w:bottom w:val="single" w:color="D6F0E0" w:sz="6"/>
              <w:right w:val="single" w:color="D6F0E0" w:sz="6"/>
            </w:tcBorders>
            <w:tcMar>
              <w:top w:type="dxa" w:w="160"/>
              <w:left w:type="dxa" w:w="180"/>
              <w:bottom w:type="dxa" w:w="2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17"/>
                <w:szCs w:val="17"/>
              </w:rPr>
              <w:t xml:space="preserve">Chairperson, Board Risk Committee</w:t>
            </w:r>
          </w:p>
          <w:p>
            <w:pPr>
              <w:pBdr>
                <w:bottom w:val="single" w:color="999999" w:sz="4" w:space="1"/>
              </w:pBdr>
              <w:spacing w:after="80" w:before="46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Mr. Shahid Mahmood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Date: March 28, 2025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pBdr>
          <w:left w:val="single" w:color="1A4D2E" w:sz="16" w:space="1"/>
        </w:pBdr>
        <w:shd w:fill="F4F6FA" w:val="clear"/>
        <w:spacing w:after="0" w:before="0"/>
        <w:ind w:left="24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Official Use Only  |  Document Ref: CV-BCP-BIA-003  |  ComplyVerse GRC Platform  |  SBP ETGRMF Evidence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2026-04-01T07:44:29.280Z</dcterms:created>
  <dcterms:modified xsi:type="dcterms:W3CDTF">2026-04-01T07:44:29.280Z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