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t xml:space="preserve"/>
      </w:r>
    </w:p>
    <w:p>
      <w:pPr>
        <w:jc w:val="center"/>
      </w:pPr>
      <w:r>
        <w:rPr>
          <w:rFonts w:ascii="Arial" w:cs="Arial" w:eastAsia="Arial" w:hAnsi="Arial"/>
          <w:b/>
          <w:bCs/>
          <w:color w:val="1F4E79"/>
          <w:sz w:val="48"/>
          <w:szCs w:val="48"/>
        </w:rPr>
        <w:t xml:space="preserve">[BANK NAME]</w:t>
      </w:r>
    </w:p>
    <w:p>
      <w:pPr>
        <w:spacing w:before="60" w:after="120"/>
      </w:pPr>
      <w:r>
        <w:t xml:space="preserve"/>
      </w:r>
    </w:p>
    <w:p>
      <w:pPr>
        <w:jc w:val="center"/>
      </w:pPr>
      <w:r>
        <w:rPr>
          <w:rFonts w:ascii="Arial" w:cs="Arial" w:eastAsia="Arial" w:hAnsi="Arial"/>
          <w:b/>
          <w:bCs/>
          <w:color w:val="2E75B6"/>
          <w:sz w:val="40"/>
          <w:szCs w:val="40"/>
        </w:rPr>
        <w:t xml:space="preserve">Board IT Committee</w:t>
      </w:r>
    </w:p>
    <w:p>
      <w:pPr>
        <w:jc w:val="center"/>
      </w:pPr>
      <w:r>
        <w:rPr>
          <w:rFonts w:ascii="Arial" w:cs="Arial" w:eastAsia="Arial" w:hAnsi="Arial"/>
          <w:b/>
          <w:bCs/>
          <w:color w:val="2E75B6"/>
          <w:sz w:val="36"/>
          <w:szCs w:val="36"/>
        </w:rPr>
        <w:t xml:space="preserve">Terms of Reference</w:t>
      </w:r>
    </w:p>
    <w:p>
      <w:pPr>
        <w:spacing w:before="360"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Document No:</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IT-GOV-004</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1.0</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Effective Date:</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[DD-MMM-YYYY]</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Approved by:</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Board of Directors</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Regulatory Ref:</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SBP BPRD Circular No. 05/2017 — Section 1.5.1</w:t>
            </w:r>
          </w:p>
        </w:tc>
      </w:tr>
    </w:tbl>
    <w:p>
      <w:r>
        <w:br w:type="page"/>
      </w:r>
    </w:p>
    <w:p>
      <w:pPr>
        <w:pStyle w:val="Heading1"/>
      </w:pPr>
      <w:r>
        <w:rPr>
          <w:rFonts w:ascii="Arial" w:cs="Arial" w:eastAsia="Arial" w:hAnsi="Arial"/>
          <w:b/>
          <w:bCs/>
          <w:color w:val="1F4E79"/>
          <w:sz w:val="30"/>
          <w:szCs w:val="30"/>
        </w:rPr>
        <w:t xml:space="preserve">1. Establishment and Purpose</w:t>
      </w:r>
    </w:p>
    <w:p>
      <w:pPr>
        <w:spacing w:before="80" w:after="80"/>
        <w:jc w:val="both"/>
      </w:pPr>
      <w:r>
        <w:rPr>
          <w:rFonts w:ascii="Arial" w:cs="Arial" w:eastAsia="Arial" w:hAnsi="Arial"/>
          <w:color w:val="404040"/>
          <w:sz w:val="20"/>
          <w:szCs w:val="20"/>
        </w:rPr>
        <w:t xml:space="preserve">The Board IT Committee (hereinafter 'the Committee' or 'BITC') is established as a standing sub-committee of the Board of Directors (BoD) of [Bank Name] (hereinafter 'the Bank') pursuant to the requirements of the State Bank of Pakistan's Enterprise Technology Governance &amp; Risk Management Framework for Financial Institutions (BPRD Circular No. 05 dated May 30, 2017).</w:t>
      </w:r>
    </w:p>
    <w:p>
      <w:pPr>
        <w:spacing w:before="60" w:after="120"/>
      </w:pPr>
      <w:r>
        <w:t xml:space="preserve"/>
      </w:r>
    </w:p>
    <w:p>
      <w:pPr>
        <w:spacing w:before="80" w:after="80"/>
        <w:jc w:val="both"/>
      </w:pPr>
      <w:r>
        <w:rPr>
          <w:rFonts w:ascii="Arial" w:cs="Arial" w:eastAsia="Arial" w:hAnsi="Arial"/>
          <w:color w:val="404040"/>
          <w:sz w:val="20"/>
          <w:szCs w:val="20"/>
        </w:rPr>
        <w:t xml:space="preserve">The BITC is established to assist the Board in fulfilling its technology governance responsibilities by providing specialized oversight of the Bank's technology activities, digital initiatives, and technology-related risks. The Committee enables the Board to make informed decisions on technology matters without requiring Board-level involvement in routine technology activities.</w:t>
      </w:r>
    </w:p>
    <w:p>
      <w:pPr>
        <w:spacing w:before="120" w:after="120"/>
      </w:pPr>
      <w:r>
        <w:t xml:space="preserve"/>
      </w:r>
    </w:p>
    <w:p>
      <w:pPr>
        <w:pStyle w:val="Heading1"/>
      </w:pPr>
      <w:r>
        <w:rPr>
          <w:rFonts w:ascii="Arial" w:cs="Arial" w:eastAsia="Arial" w:hAnsi="Arial"/>
          <w:b/>
          <w:bCs/>
          <w:color w:val="1F4E79"/>
          <w:sz w:val="30"/>
          <w:szCs w:val="30"/>
        </w:rPr>
        <w:t xml:space="preserve">2. Composition and Membership</w:t>
      </w:r>
    </w:p>
    <w:p>
      <w:pPr>
        <w:pStyle w:val="Heading2"/>
      </w:pPr>
      <w:r>
        <w:rPr>
          <w:rFonts w:ascii="Arial" w:cs="Arial" w:eastAsia="Arial" w:hAnsi="Arial"/>
          <w:b/>
          <w:bCs/>
          <w:color w:val="2E75B6"/>
          <w:sz w:val="24"/>
          <w:szCs w:val="24"/>
        </w:rPr>
        <w:t xml:space="preserve">2.1 Membership Requirements</w:t>
      </w:r>
    </w:p>
    <w:p>
      <w:pPr>
        <w:spacing w:before="80" w:after="80"/>
        <w:jc w:val="both"/>
      </w:pPr>
      <w:r>
        <w:rPr>
          <w:rFonts w:ascii="Arial" w:cs="Arial" w:eastAsia="Arial" w:hAnsi="Arial"/>
          <w:color w:val="404040"/>
          <w:sz w:val="20"/>
          <w:szCs w:val="20"/>
        </w:rPr>
        <w:t xml:space="preserve">The Committee shall be composed as follows:</w:t>
      </w:r>
    </w:p>
    <w:p>
      <w:pPr>
        <w:pStyle w:val="ListParagraph"/>
        <w:numPr>
          <w:ilvl w:val="0"/>
          <w:numId w:val="2"/>
        </w:numPr>
        <w:spacing w:before="60" w:after="60"/>
      </w:pPr>
      <w:r>
        <w:rPr>
          <w:rFonts w:ascii="Arial" w:cs="Arial" w:eastAsia="Arial" w:hAnsi="Arial"/>
          <w:color w:val="404040"/>
          <w:sz w:val="20"/>
          <w:szCs w:val="20"/>
        </w:rPr>
        <w:t xml:space="preserve">Minimum of three (3) Board Directors as members.</w:t>
      </w:r>
    </w:p>
    <w:p>
      <w:pPr>
        <w:pStyle w:val="ListParagraph"/>
        <w:numPr>
          <w:ilvl w:val="0"/>
          <w:numId w:val="2"/>
        </w:numPr>
        <w:spacing w:before="60" w:after="60"/>
      </w:pPr>
      <w:r>
        <w:rPr>
          <w:rFonts w:ascii="Arial" w:cs="Arial" w:eastAsia="Arial" w:hAnsi="Arial"/>
          <w:color w:val="404040"/>
          <w:sz w:val="20"/>
          <w:szCs w:val="20"/>
        </w:rPr>
        <w:t xml:space="preserve">At least one (1) member shall be an Independent Director.</w:t>
      </w:r>
    </w:p>
    <w:p>
      <w:pPr>
        <w:pStyle w:val="ListParagraph"/>
        <w:numPr>
          <w:ilvl w:val="0"/>
          <w:numId w:val="2"/>
        </w:numPr>
        <w:spacing w:before="60" w:after="60"/>
      </w:pPr>
      <w:r>
        <w:rPr>
          <w:rFonts w:ascii="Arial" w:cs="Arial" w:eastAsia="Arial" w:hAnsi="Arial"/>
          <w:color w:val="404040"/>
          <w:sz w:val="20"/>
          <w:szCs w:val="20"/>
        </w:rPr>
        <w:t xml:space="preserve">At least one (1) member shall have relevant qualification or experience in information technology, cyber security, or digital transformation.</w:t>
      </w:r>
    </w:p>
    <w:p>
      <w:pPr>
        <w:pStyle w:val="ListParagraph"/>
        <w:numPr>
          <w:ilvl w:val="0"/>
          <w:numId w:val="2"/>
        </w:numPr>
        <w:spacing w:before="60" w:after="60"/>
      </w:pPr>
      <w:r>
        <w:rPr>
          <w:rFonts w:ascii="Arial" w:cs="Arial" w:eastAsia="Arial" w:hAnsi="Arial"/>
          <w:color w:val="404040"/>
          <w:sz w:val="20"/>
          <w:szCs w:val="20"/>
        </w:rPr>
        <w:t xml:space="preserve">The Chairman of the Committee shall be appointed by the Board of Directors.</w:t>
      </w:r>
    </w:p>
    <w:p>
      <w:pPr>
        <w:pStyle w:val="ListParagraph"/>
        <w:numPr>
          <w:ilvl w:val="0"/>
          <w:numId w:val="2"/>
        </w:numPr>
        <w:spacing w:before="60" w:after="60"/>
      </w:pPr>
      <w:r>
        <w:rPr>
          <w:rFonts w:ascii="Arial" w:cs="Arial" w:eastAsia="Arial" w:hAnsi="Arial"/>
          <w:color w:val="404040"/>
          <w:sz w:val="20"/>
          <w:szCs w:val="20"/>
        </w:rPr>
        <w:t xml:space="preserve">The Chairman shall preferably be an Independent Director.</w:t>
      </w:r>
    </w:p>
    <w:p>
      <w:pPr>
        <w:spacing w:before="120" w:after="120"/>
      </w:pPr>
      <w:r>
        <w:t xml:space="preserve"/>
      </w:r>
    </w:p>
    <w:p>
      <w:pPr>
        <w:pStyle w:val="Heading2"/>
      </w:pPr>
      <w:r>
        <w:rPr>
          <w:rFonts w:ascii="Arial" w:cs="Arial" w:eastAsia="Arial" w:hAnsi="Arial"/>
          <w:b/>
          <w:bCs/>
          <w:color w:val="2E75B6"/>
          <w:sz w:val="24"/>
          <w:szCs w:val="24"/>
        </w:rPr>
        <w:t xml:space="preserve">2.2 Current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Designation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in Committee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[Director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Independent Director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Chairman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[Director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Independent Director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Member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[Director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Non-Executive Director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Member</w:t>
            </w:r>
          </w:p>
        </w:tc>
      </w:tr>
    </w:tbl>
    <w:p>
      <w:pPr>
        <w:spacing w:before="120" w:after="120"/>
      </w:pPr>
      <w:r>
        <w:t xml:space="preserve"/>
      </w:r>
    </w:p>
    <w:p>
      <w:pPr>
        <w:pStyle w:val="Heading2"/>
      </w:pPr>
      <w:r>
        <w:rPr>
          <w:rFonts w:ascii="Arial" w:cs="Arial" w:eastAsia="Arial" w:hAnsi="Arial"/>
          <w:b/>
          <w:bCs/>
          <w:color w:val="2E75B6"/>
          <w:sz w:val="24"/>
          <w:szCs w:val="24"/>
        </w:rPr>
        <w:t xml:space="preserve">2.3 Invitees</w:t>
      </w:r>
    </w:p>
    <w:p>
      <w:pPr>
        <w:spacing w:before="80" w:after="80"/>
        <w:jc w:val="both"/>
      </w:pPr>
      <w:r>
        <w:rPr>
          <w:rFonts w:ascii="Arial" w:cs="Arial" w:eastAsia="Arial" w:hAnsi="Arial"/>
          <w:color w:val="404040"/>
          <w:sz w:val="20"/>
          <w:szCs w:val="20"/>
        </w:rPr>
        <w:t xml:space="preserve">The following executives shall be standing invitees to Committee meetings and shall attend as required:</w:t>
      </w:r>
    </w:p>
    <w:p>
      <w:pPr>
        <w:pStyle w:val="ListParagraph"/>
        <w:numPr>
          <w:ilvl w:val="0"/>
          <w:numId w:val="2"/>
        </w:numPr>
        <w:spacing w:before="60" w:after="60"/>
      </w:pPr>
      <w:r>
        <w:rPr>
          <w:rFonts w:ascii="Arial" w:cs="Arial" w:eastAsia="Arial" w:hAnsi="Arial"/>
          <w:color w:val="404040"/>
          <w:sz w:val="20"/>
          <w:szCs w:val="20"/>
        </w:rPr>
        <w:t xml:space="preserve">President / Chief Executive Officer</w:t>
      </w:r>
    </w:p>
    <w:p>
      <w:pPr>
        <w:pStyle w:val="ListParagraph"/>
        <w:numPr>
          <w:ilvl w:val="0"/>
          <w:numId w:val="2"/>
        </w:numPr>
        <w:spacing w:before="60" w:after="60"/>
      </w:pPr>
      <w:r>
        <w:rPr>
          <w:rFonts w:ascii="Arial" w:cs="Arial" w:eastAsia="Arial" w:hAnsi="Arial"/>
          <w:color w:val="404040"/>
          <w:sz w:val="20"/>
          <w:szCs w:val="20"/>
        </w:rPr>
        <w:t xml:space="preserve">Chief Information Officer (CIO)</w:t>
      </w:r>
    </w:p>
    <w:p>
      <w:pPr>
        <w:pStyle w:val="ListParagraph"/>
        <w:numPr>
          <w:ilvl w:val="0"/>
          <w:numId w:val="2"/>
        </w:numPr>
        <w:spacing w:before="60" w:after="60"/>
      </w:pPr>
      <w:r>
        <w:rPr>
          <w:rFonts w:ascii="Arial" w:cs="Arial" w:eastAsia="Arial" w:hAnsi="Arial"/>
          <w:color w:val="404040"/>
          <w:sz w:val="20"/>
          <w:szCs w:val="20"/>
        </w:rPr>
        <w:t xml:space="preserve">Chief Information Security Officer (CISO)</w:t>
      </w:r>
    </w:p>
    <w:p>
      <w:pPr>
        <w:pStyle w:val="ListParagraph"/>
        <w:numPr>
          <w:ilvl w:val="0"/>
          <w:numId w:val="2"/>
        </w:numPr>
        <w:spacing w:before="60" w:after="60"/>
      </w:pPr>
      <w:r>
        <w:rPr>
          <w:rFonts w:ascii="Arial" w:cs="Arial" w:eastAsia="Arial" w:hAnsi="Arial"/>
          <w:color w:val="404040"/>
          <w:sz w:val="20"/>
          <w:szCs w:val="20"/>
        </w:rPr>
        <w:t xml:space="preserve">Chief Risk Officer (CRO)</w:t>
      </w:r>
    </w:p>
    <w:p>
      <w:pPr>
        <w:pStyle w:val="ListParagraph"/>
        <w:numPr>
          <w:ilvl w:val="0"/>
          <w:numId w:val="2"/>
        </w:numPr>
        <w:spacing w:before="60" w:after="60"/>
      </w:pPr>
      <w:r>
        <w:rPr>
          <w:rFonts w:ascii="Arial" w:cs="Arial" w:eastAsia="Arial" w:hAnsi="Arial"/>
          <w:color w:val="404040"/>
          <w:sz w:val="20"/>
          <w:szCs w:val="20"/>
        </w:rPr>
        <w:t xml:space="preserve">Chief Compliance Officer (CCO)</w:t>
      </w:r>
    </w:p>
    <w:p>
      <w:pPr>
        <w:pStyle w:val="ListParagraph"/>
        <w:numPr>
          <w:ilvl w:val="0"/>
          <w:numId w:val="2"/>
        </w:numPr>
        <w:spacing w:before="60" w:after="60"/>
      </w:pPr>
      <w:r>
        <w:rPr>
          <w:rFonts w:ascii="Arial" w:cs="Arial" w:eastAsia="Arial" w:hAnsi="Arial"/>
          <w:color w:val="404040"/>
          <w:sz w:val="20"/>
          <w:szCs w:val="20"/>
        </w:rPr>
        <w:t xml:space="preserve">Head of Internal Audit (as observer)</w:t>
      </w:r>
    </w:p>
    <w:p>
      <w:pPr>
        <w:spacing w:before="60" w:after="120"/>
      </w:pPr>
      <w:r>
        <w:t xml:space="preserve"/>
      </w:r>
    </w:p>
    <w:p>
      <w:pPr>
        <w:spacing w:before="80" w:after="80"/>
        <w:jc w:val="both"/>
      </w:pPr>
      <w:r>
        <w:rPr>
          <w:rFonts w:ascii="Arial" w:cs="Arial" w:eastAsia="Arial" w:hAnsi="Arial"/>
          <w:color w:val="404040"/>
          <w:sz w:val="20"/>
          <w:szCs w:val="20"/>
        </w:rPr>
        <w:t xml:space="preserve">The Committee may invite other executives, subject matter experts, or external advisors on an ad-hoc basis when their expertise is required.</w:t>
      </w:r>
    </w:p>
    <w:p>
      <w:pPr>
        <w:spacing w:before="120" w:after="120"/>
      </w:pPr>
      <w:r>
        <w:t xml:space="preserve"/>
      </w:r>
    </w:p>
    <w:p>
      <w:pPr>
        <w:pStyle w:val="Heading2"/>
      </w:pPr>
      <w:r>
        <w:rPr>
          <w:rFonts w:ascii="Arial" w:cs="Arial" w:eastAsia="Arial" w:hAnsi="Arial"/>
          <w:b/>
          <w:bCs/>
          <w:color w:val="2E75B6"/>
          <w:sz w:val="24"/>
          <w:szCs w:val="24"/>
        </w:rPr>
        <w:t xml:space="preserve">2.4 Secretary</w:t>
      </w:r>
    </w:p>
    <w:p>
      <w:pPr>
        <w:spacing w:before="80" w:after="80"/>
        <w:jc w:val="both"/>
      </w:pPr>
      <w:r>
        <w:rPr>
          <w:rFonts w:ascii="Arial" w:cs="Arial" w:eastAsia="Arial" w:hAnsi="Arial"/>
          <w:color w:val="404040"/>
          <w:sz w:val="20"/>
          <w:szCs w:val="20"/>
        </w:rPr>
        <w:t xml:space="preserve">The Company Secretary or a nominee thereof shall serve as the Secretary to the Committee and shall be responsible for preparing and distributing meeting agendas, recording minutes, and maintaining Committee records.</w:t>
      </w:r>
    </w:p>
    <w:p>
      <w:pPr>
        <w:spacing w:before="120" w:after="120"/>
      </w:pPr>
      <w:r>
        <w:t xml:space="preserve"/>
      </w:r>
    </w:p>
    <w:p>
      <w:pPr>
        <w:pStyle w:val="Heading1"/>
      </w:pPr>
      <w:r>
        <w:rPr>
          <w:rFonts w:ascii="Arial" w:cs="Arial" w:eastAsia="Arial" w:hAnsi="Arial"/>
          <w:b/>
          <w:bCs/>
          <w:color w:val="1F4E79"/>
          <w:sz w:val="30"/>
          <w:szCs w:val="30"/>
        </w:rPr>
        <w:t xml:space="preserve">3. Responsibilities and Functions</w:t>
      </w:r>
    </w:p>
    <w:p>
      <w:pPr>
        <w:pStyle w:val="Heading2"/>
      </w:pPr>
      <w:r>
        <w:rPr>
          <w:rFonts w:ascii="Arial" w:cs="Arial" w:eastAsia="Arial" w:hAnsi="Arial"/>
          <w:b/>
          <w:bCs/>
          <w:color w:val="2E75B6"/>
          <w:sz w:val="24"/>
          <w:szCs w:val="24"/>
        </w:rPr>
        <w:t xml:space="preserve">3.1 Technology Strategy and Governance</w:t>
      </w:r>
    </w:p>
    <w:p>
      <w:pPr>
        <w:pStyle w:val="ListParagraph"/>
        <w:numPr>
          <w:ilvl w:val="0"/>
          <w:numId w:val="2"/>
        </w:numPr>
        <w:spacing w:before="60" w:after="60"/>
      </w:pPr>
      <w:r>
        <w:rPr>
          <w:rFonts w:ascii="Arial" w:cs="Arial" w:eastAsia="Arial" w:hAnsi="Arial"/>
          <w:color w:val="404040"/>
          <w:sz w:val="20"/>
          <w:szCs w:val="20"/>
        </w:rPr>
        <w:t xml:space="preserve">Review the IT Strategy and Digital Strategy prepared by management and recommend approval to the Board of Directors.</w:t>
      </w:r>
    </w:p>
    <w:p>
      <w:pPr>
        <w:pStyle w:val="ListParagraph"/>
        <w:numPr>
          <w:ilvl w:val="0"/>
          <w:numId w:val="2"/>
        </w:numPr>
        <w:spacing w:before="60" w:after="60"/>
      </w:pPr>
      <w:r>
        <w:rPr>
          <w:rFonts w:ascii="Arial" w:cs="Arial" w:eastAsia="Arial" w:hAnsi="Arial"/>
          <w:color w:val="404040"/>
          <w:sz w:val="20"/>
          <w:szCs w:val="20"/>
        </w:rPr>
        <w:t xml:space="preserve">Monitor implementation of the approved IT Strategy and Digital Strategy on a quarterly basis.</w:t>
      </w:r>
    </w:p>
    <w:p>
      <w:pPr>
        <w:pStyle w:val="ListParagraph"/>
        <w:numPr>
          <w:ilvl w:val="0"/>
          <w:numId w:val="2"/>
        </w:numPr>
        <w:spacing w:before="60" w:after="60"/>
      </w:pPr>
      <w:r>
        <w:rPr>
          <w:rFonts w:ascii="Arial" w:cs="Arial" w:eastAsia="Arial" w:hAnsi="Arial"/>
          <w:color w:val="404040"/>
          <w:sz w:val="20"/>
          <w:szCs w:val="20"/>
        </w:rPr>
        <w:t xml:space="preserve">Review and recommend to the Board the approval of all technology-related policies.</w:t>
      </w:r>
    </w:p>
    <w:p>
      <w:pPr>
        <w:pStyle w:val="ListParagraph"/>
        <w:numPr>
          <w:ilvl w:val="0"/>
          <w:numId w:val="2"/>
        </w:numPr>
        <w:spacing w:before="60" w:after="60"/>
      </w:pPr>
      <w:r>
        <w:rPr>
          <w:rFonts w:ascii="Arial" w:cs="Arial" w:eastAsia="Arial" w:hAnsi="Arial"/>
          <w:color w:val="404040"/>
          <w:sz w:val="20"/>
          <w:szCs w:val="20"/>
        </w:rPr>
        <w:t xml:space="preserve">Ensure that the Enterprise Technology Governance Framework is aligned with the Bank's corporate governance framework.</w:t>
      </w:r>
    </w:p>
    <w:p>
      <w:pPr>
        <w:pStyle w:val="ListParagraph"/>
        <w:numPr>
          <w:ilvl w:val="0"/>
          <w:numId w:val="2"/>
        </w:numPr>
        <w:spacing w:before="60" w:after="60"/>
      </w:pPr>
      <w:r>
        <w:rPr>
          <w:rFonts w:ascii="Arial" w:cs="Arial" w:eastAsia="Arial" w:hAnsi="Arial"/>
          <w:color w:val="404040"/>
          <w:sz w:val="20"/>
          <w:szCs w:val="20"/>
        </w:rPr>
        <w:t xml:space="preserve">Ensure that technology procurements are aligned with the IT Strategy approved by the Board.</w:t>
      </w:r>
    </w:p>
    <w:p>
      <w:pPr>
        <w:spacing w:before="120" w:after="120"/>
      </w:pPr>
      <w:r>
        <w:t xml:space="preserve"/>
      </w:r>
    </w:p>
    <w:p>
      <w:pPr>
        <w:pStyle w:val="Heading2"/>
      </w:pPr>
      <w:r>
        <w:rPr>
          <w:rFonts w:ascii="Arial" w:cs="Arial" w:eastAsia="Arial" w:hAnsi="Arial"/>
          <w:b/>
          <w:bCs/>
          <w:color w:val="2E75B6"/>
          <w:sz w:val="24"/>
          <w:szCs w:val="24"/>
        </w:rPr>
        <w:t xml:space="preserve">3.2 Technology Risk Oversight</w:t>
      </w:r>
    </w:p>
    <w:p>
      <w:pPr>
        <w:pStyle w:val="ListParagraph"/>
        <w:numPr>
          <w:ilvl w:val="0"/>
          <w:numId w:val="2"/>
        </w:numPr>
        <w:spacing w:before="60" w:after="60"/>
      </w:pPr>
      <w:r>
        <w:rPr>
          <w:rFonts w:ascii="Arial" w:cs="Arial" w:eastAsia="Arial" w:hAnsi="Arial"/>
          <w:color w:val="404040"/>
          <w:sz w:val="20"/>
          <w:szCs w:val="20"/>
        </w:rPr>
        <w:t xml:space="preserve">Ensure that risk management strategies are designed and implemented to achieve enterprise-wide resilience, including the ability to effectively respond to wide-scale disruptions such as cyber attacks.</w:t>
      </w:r>
    </w:p>
    <w:p>
      <w:pPr>
        <w:pStyle w:val="ListParagraph"/>
        <w:numPr>
          <w:ilvl w:val="0"/>
          <w:numId w:val="2"/>
        </w:numPr>
        <w:spacing w:before="60" w:after="60"/>
      </w:pPr>
      <w:r>
        <w:rPr>
          <w:rFonts w:ascii="Arial" w:cs="Arial" w:eastAsia="Arial" w:hAnsi="Arial"/>
          <w:color w:val="404040"/>
          <w:sz w:val="20"/>
          <w:szCs w:val="20"/>
        </w:rPr>
        <w:t xml:space="preserve">Receive and review periodic updates from the IT Steering Committee on all major technology-related risks.</w:t>
      </w:r>
    </w:p>
    <w:p>
      <w:pPr>
        <w:pStyle w:val="ListParagraph"/>
        <w:numPr>
          <w:ilvl w:val="0"/>
          <w:numId w:val="2"/>
        </w:numPr>
        <w:spacing w:before="60" w:after="60"/>
      </w:pPr>
      <w:r>
        <w:rPr>
          <w:rFonts w:ascii="Arial" w:cs="Arial" w:eastAsia="Arial" w:hAnsi="Arial"/>
          <w:color w:val="404040"/>
          <w:sz w:val="20"/>
          <w:szCs w:val="20"/>
        </w:rPr>
        <w:t xml:space="preserve">Oversee the Bank's cyber security posture and review the Cyber Security Action Plan and its implementation status.</w:t>
      </w:r>
    </w:p>
    <w:p>
      <w:pPr>
        <w:pStyle w:val="ListParagraph"/>
        <w:numPr>
          <w:ilvl w:val="0"/>
          <w:numId w:val="2"/>
        </w:numPr>
        <w:spacing w:before="60" w:after="60"/>
      </w:pPr>
      <w:r>
        <w:rPr>
          <w:rFonts w:ascii="Arial" w:cs="Arial" w:eastAsia="Arial" w:hAnsi="Arial"/>
          <w:color w:val="404040"/>
          <w:sz w:val="20"/>
          <w:szCs w:val="20"/>
        </w:rPr>
        <w:t xml:space="preserve">Review significant technology incidents and the adequacy of management's response.</w:t>
      </w:r>
    </w:p>
    <w:p>
      <w:pPr>
        <w:pStyle w:val="ListParagraph"/>
        <w:numPr>
          <w:ilvl w:val="0"/>
          <w:numId w:val="2"/>
        </w:numPr>
        <w:spacing w:before="60" w:after="60"/>
      </w:pPr>
      <w:r>
        <w:rPr>
          <w:rFonts w:ascii="Arial" w:cs="Arial" w:eastAsia="Arial" w:hAnsi="Arial"/>
          <w:color w:val="404040"/>
          <w:sz w:val="20"/>
          <w:szCs w:val="20"/>
        </w:rPr>
        <w:t xml:space="preserve">Ensure that technology risks are fully integrated into the Bank's enterprise risk management framework.</w:t>
      </w:r>
    </w:p>
    <w:p>
      <w:pPr>
        <w:spacing w:before="120" w:after="120"/>
      </w:pPr>
      <w:r>
        <w:t xml:space="preserve"/>
      </w:r>
    </w:p>
    <w:p>
      <w:pPr>
        <w:pStyle w:val="Heading2"/>
      </w:pPr>
      <w:r>
        <w:rPr>
          <w:rFonts w:ascii="Arial" w:cs="Arial" w:eastAsia="Arial" w:hAnsi="Arial"/>
          <w:b/>
          <w:bCs/>
          <w:color w:val="2E75B6"/>
          <w:sz w:val="24"/>
          <w:szCs w:val="24"/>
        </w:rPr>
        <w:t xml:space="preserve">3.3 Technology Projects and Investments</w:t>
      </w:r>
    </w:p>
    <w:p>
      <w:pPr>
        <w:pStyle w:val="ListParagraph"/>
        <w:numPr>
          <w:ilvl w:val="0"/>
          <w:numId w:val="2"/>
        </w:numPr>
        <w:spacing w:before="60" w:after="60"/>
      </w:pPr>
      <w:r>
        <w:rPr>
          <w:rFonts w:ascii="Arial" w:cs="Arial" w:eastAsia="Arial" w:hAnsi="Arial"/>
          <w:color w:val="404040"/>
          <w:sz w:val="20"/>
          <w:szCs w:val="20"/>
        </w:rPr>
        <w:t xml:space="preserve">Receive periodic updates from the IT Steering Committee to monitor all technology-related projects approved by the Board.</w:t>
      </w:r>
    </w:p>
    <w:p>
      <w:pPr>
        <w:pStyle w:val="ListParagraph"/>
        <w:numPr>
          <w:ilvl w:val="0"/>
          <w:numId w:val="2"/>
        </w:numPr>
        <w:spacing w:before="60" w:after="60"/>
      </w:pPr>
      <w:r>
        <w:rPr>
          <w:rFonts w:ascii="Arial" w:cs="Arial" w:eastAsia="Arial" w:hAnsi="Arial"/>
          <w:color w:val="404040"/>
          <w:sz w:val="20"/>
          <w:szCs w:val="20"/>
        </w:rPr>
        <w:t xml:space="preserve">Review and recommend to the Board the approval of major technology projects that may have significant impact on the Bank's operations, earnings, or capital.</w:t>
      </w:r>
    </w:p>
    <w:p>
      <w:pPr>
        <w:pStyle w:val="ListParagraph"/>
        <w:numPr>
          <w:ilvl w:val="0"/>
          <w:numId w:val="2"/>
        </w:numPr>
        <w:spacing w:before="60" w:after="60"/>
      </w:pPr>
      <w:r>
        <w:rPr>
          <w:rFonts w:ascii="Arial" w:cs="Arial" w:eastAsia="Arial" w:hAnsi="Arial"/>
          <w:color w:val="404040"/>
          <w:sz w:val="20"/>
          <w:szCs w:val="20"/>
        </w:rPr>
        <w:t xml:space="preserve">Review post-implementation evaluation reports for major technology projects.</w:t>
      </w:r>
    </w:p>
    <w:p>
      <w:pPr>
        <w:spacing w:before="120" w:after="120"/>
      </w:pPr>
      <w:r>
        <w:t xml:space="preserve"/>
      </w:r>
    </w:p>
    <w:p>
      <w:pPr>
        <w:pStyle w:val="Heading2"/>
      </w:pPr>
      <w:r>
        <w:rPr>
          <w:rFonts w:ascii="Arial" w:cs="Arial" w:eastAsia="Arial" w:hAnsi="Arial"/>
          <w:b/>
          <w:bCs/>
          <w:color w:val="2E75B6"/>
          <w:sz w:val="24"/>
          <w:szCs w:val="24"/>
        </w:rPr>
        <w:t xml:space="preserve">3.4 External Expertise</w:t>
      </w:r>
    </w:p>
    <w:p>
      <w:pPr>
        <w:pStyle w:val="ListParagraph"/>
        <w:numPr>
          <w:ilvl w:val="0"/>
          <w:numId w:val="2"/>
        </w:numPr>
        <w:spacing w:before="60" w:after="60"/>
      </w:pPr>
      <w:r>
        <w:rPr>
          <w:rFonts w:ascii="Arial" w:cs="Arial" w:eastAsia="Arial" w:hAnsi="Arial"/>
          <w:color w:val="404040"/>
          <w:sz w:val="20"/>
          <w:szCs w:val="20"/>
        </w:rPr>
        <w:t xml:space="preserve">Seek independent expert opinion from external sources when deemed necessary on complex technology matters.</w:t>
      </w:r>
    </w:p>
    <w:p>
      <w:pPr>
        <w:pStyle w:val="ListParagraph"/>
        <w:numPr>
          <w:ilvl w:val="0"/>
          <w:numId w:val="2"/>
        </w:numPr>
        <w:spacing w:before="60" w:after="60"/>
      </w:pPr>
      <w:r>
        <w:rPr>
          <w:rFonts w:ascii="Arial" w:cs="Arial" w:eastAsia="Arial" w:hAnsi="Arial"/>
          <w:color w:val="404040"/>
          <w:sz w:val="20"/>
          <w:szCs w:val="20"/>
        </w:rPr>
        <w:t xml:space="preserve">Review reports from external technology auditors and consultants.</w:t>
      </w:r>
    </w:p>
    <w:p>
      <w:pPr>
        <w:spacing w:before="120" w:after="120"/>
      </w:pPr>
      <w:r>
        <w:t xml:space="preserve"/>
      </w:r>
    </w:p>
    <w:p>
      <w:pPr>
        <w:pStyle w:val="Heading1"/>
      </w:pPr>
      <w:r>
        <w:rPr>
          <w:rFonts w:ascii="Arial" w:cs="Arial" w:eastAsia="Arial" w:hAnsi="Arial"/>
          <w:b/>
          <w:bCs/>
          <w:color w:val="1F4E79"/>
          <w:sz w:val="30"/>
          <w:szCs w:val="30"/>
        </w:rPr>
        <w:t xml:space="preserve">4. Meetings</w:t>
      </w:r>
    </w:p>
    <w:p>
      <w:pPr>
        <w:pStyle w:val="Heading2"/>
      </w:pPr>
      <w:r>
        <w:rPr>
          <w:rFonts w:ascii="Arial" w:cs="Arial" w:eastAsia="Arial" w:hAnsi="Arial"/>
          <w:b/>
          <w:bCs/>
          <w:color w:val="2E75B6"/>
          <w:sz w:val="24"/>
          <w:szCs w:val="24"/>
        </w:rPr>
        <w:t xml:space="preserve">4.1 Frequency</w:t>
      </w:r>
    </w:p>
    <w:p>
      <w:pPr>
        <w:pStyle w:val="ListParagraph"/>
        <w:numPr>
          <w:ilvl w:val="0"/>
          <w:numId w:val="2"/>
        </w:numPr>
        <w:spacing w:before="60" w:after="60"/>
      </w:pPr>
      <w:r>
        <w:rPr>
          <w:rFonts w:ascii="Arial" w:cs="Arial" w:eastAsia="Arial" w:hAnsi="Arial"/>
          <w:color w:val="404040"/>
          <w:sz w:val="20"/>
          <w:szCs w:val="20"/>
        </w:rPr>
        <w:t xml:space="preserve">The Committee shall meet at least four (4) times per year (quarterly), coinciding with or preceding the full Board meetings.</w:t>
      </w:r>
    </w:p>
    <w:p>
      <w:pPr>
        <w:pStyle w:val="ListParagraph"/>
        <w:numPr>
          <w:ilvl w:val="0"/>
          <w:numId w:val="2"/>
        </w:numPr>
        <w:spacing w:before="60" w:after="60"/>
      </w:pPr>
      <w:r>
        <w:rPr>
          <w:rFonts w:ascii="Arial" w:cs="Arial" w:eastAsia="Arial" w:hAnsi="Arial"/>
          <w:color w:val="404040"/>
          <w:sz w:val="20"/>
          <w:szCs w:val="20"/>
        </w:rPr>
        <w:t xml:space="preserve">Additional meetings may be convened as required at the discretion of the Chairman.</w:t>
      </w:r>
    </w:p>
    <w:p>
      <w:pPr>
        <w:pStyle w:val="ListParagraph"/>
        <w:numPr>
          <w:ilvl w:val="0"/>
          <w:numId w:val="2"/>
        </w:numPr>
        <w:spacing w:before="60" w:after="60"/>
      </w:pPr>
      <w:r>
        <w:rPr>
          <w:rFonts w:ascii="Arial" w:cs="Arial" w:eastAsia="Arial" w:hAnsi="Arial"/>
          <w:color w:val="404040"/>
          <w:sz w:val="20"/>
          <w:szCs w:val="20"/>
        </w:rPr>
        <w:t xml:space="preserve">Emergency meetings may be convened at short notice in the event of a significant technology incident or cyber attack.</w:t>
      </w:r>
    </w:p>
    <w:p>
      <w:pPr>
        <w:spacing w:before="120" w:after="120"/>
      </w:pPr>
      <w:r>
        <w:t xml:space="preserve"/>
      </w:r>
    </w:p>
    <w:p>
      <w:pPr>
        <w:pStyle w:val="Heading2"/>
      </w:pPr>
      <w:r>
        <w:rPr>
          <w:rFonts w:ascii="Arial" w:cs="Arial" w:eastAsia="Arial" w:hAnsi="Arial"/>
          <w:b/>
          <w:bCs/>
          <w:color w:val="2E75B6"/>
          <w:sz w:val="24"/>
          <w:szCs w:val="24"/>
        </w:rPr>
        <w:t xml:space="preserve">4.2 Quorum</w:t>
      </w:r>
    </w:p>
    <w:p>
      <w:pPr>
        <w:spacing w:before="80" w:after="80"/>
        <w:jc w:val="both"/>
      </w:pPr>
      <w:r>
        <w:rPr>
          <w:rFonts w:ascii="Arial" w:cs="Arial" w:eastAsia="Arial" w:hAnsi="Arial"/>
          <w:color w:val="404040"/>
          <w:sz w:val="20"/>
          <w:szCs w:val="20"/>
        </w:rPr>
        <w:t xml:space="preserve">A quorum for any Committee meeting shall be a majority of the Committee members (i.e., two out of three members, or three out of five if the Committee has five members). The Chairman or a designated acting Chairman must be present for quorum.</w:t>
      </w:r>
    </w:p>
    <w:p>
      <w:pPr>
        <w:spacing w:before="120" w:after="120"/>
      </w:pPr>
      <w:r>
        <w:t xml:space="preserve"/>
      </w:r>
    </w:p>
    <w:p>
      <w:pPr>
        <w:pStyle w:val="Heading2"/>
      </w:pPr>
      <w:r>
        <w:rPr>
          <w:rFonts w:ascii="Arial" w:cs="Arial" w:eastAsia="Arial" w:hAnsi="Arial"/>
          <w:b/>
          <w:bCs/>
          <w:color w:val="2E75B6"/>
          <w:sz w:val="24"/>
          <w:szCs w:val="24"/>
        </w:rPr>
        <w:t xml:space="preserve">4.3 Agenda and Papers</w:t>
      </w:r>
    </w:p>
    <w:p>
      <w:pPr>
        <w:pStyle w:val="ListParagraph"/>
        <w:numPr>
          <w:ilvl w:val="0"/>
          <w:numId w:val="2"/>
        </w:numPr>
        <w:spacing w:before="60" w:after="60"/>
      </w:pPr>
      <w:r>
        <w:rPr>
          <w:rFonts w:ascii="Arial" w:cs="Arial" w:eastAsia="Arial" w:hAnsi="Arial"/>
          <w:color w:val="404040"/>
          <w:sz w:val="20"/>
          <w:szCs w:val="20"/>
        </w:rPr>
        <w:t xml:space="preserve">The Secretary shall circulate the agenda and supporting papers at least five (5) working days prior to each scheduled meeting.</w:t>
      </w:r>
    </w:p>
    <w:p>
      <w:pPr>
        <w:pStyle w:val="ListParagraph"/>
        <w:numPr>
          <w:ilvl w:val="0"/>
          <w:numId w:val="2"/>
        </w:numPr>
        <w:spacing w:before="60" w:after="60"/>
      </w:pPr>
      <w:r>
        <w:rPr>
          <w:rFonts w:ascii="Arial" w:cs="Arial" w:eastAsia="Arial" w:hAnsi="Arial"/>
          <w:color w:val="404040"/>
          <w:sz w:val="20"/>
          <w:szCs w:val="20"/>
        </w:rPr>
        <w:t xml:space="preserve">Any member may request additional items be placed on the agenda by notifying the Secretary at least three (3) working days before the meeting.</w:t>
      </w:r>
    </w:p>
    <w:p>
      <w:pPr>
        <w:pStyle w:val="ListParagraph"/>
        <w:numPr>
          <w:ilvl w:val="0"/>
          <w:numId w:val="2"/>
        </w:numPr>
        <w:spacing w:before="60" w:after="60"/>
      </w:pPr>
      <w:r>
        <w:rPr>
          <w:rFonts w:ascii="Arial" w:cs="Arial" w:eastAsia="Arial" w:hAnsi="Arial"/>
          <w:color w:val="404040"/>
          <w:sz w:val="20"/>
          <w:szCs w:val="20"/>
        </w:rPr>
        <w:t xml:space="preserve">All papers and materials shared with the Committee are classified as CONFIDENTIAL.</w:t>
      </w:r>
    </w:p>
    <w:p>
      <w:pPr>
        <w:spacing w:before="120" w:after="120"/>
      </w:pPr>
      <w:r>
        <w:t xml:space="preserve"/>
      </w:r>
    </w:p>
    <w:p>
      <w:pPr>
        <w:pStyle w:val="Heading2"/>
      </w:pPr>
      <w:r>
        <w:rPr>
          <w:rFonts w:ascii="Arial" w:cs="Arial" w:eastAsia="Arial" w:hAnsi="Arial"/>
          <w:b/>
          <w:bCs/>
          <w:color w:val="2E75B6"/>
          <w:sz w:val="24"/>
          <w:szCs w:val="24"/>
        </w:rPr>
        <w:t xml:space="preserve">4.4 Minutes</w:t>
      </w:r>
    </w:p>
    <w:p>
      <w:pPr>
        <w:pStyle w:val="ListParagraph"/>
        <w:numPr>
          <w:ilvl w:val="0"/>
          <w:numId w:val="2"/>
        </w:numPr>
        <w:spacing w:before="60" w:after="60"/>
      </w:pPr>
      <w:r>
        <w:rPr>
          <w:rFonts w:ascii="Arial" w:cs="Arial" w:eastAsia="Arial" w:hAnsi="Arial"/>
          <w:color w:val="404040"/>
          <w:sz w:val="20"/>
          <w:szCs w:val="20"/>
        </w:rPr>
        <w:t xml:space="preserve">The Secretary shall prepare draft minutes of each meeting within five (5) working days of the meeting.</w:t>
      </w:r>
    </w:p>
    <w:p>
      <w:pPr>
        <w:pStyle w:val="ListParagraph"/>
        <w:numPr>
          <w:ilvl w:val="0"/>
          <w:numId w:val="2"/>
        </w:numPr>
        <w:spacing w:before="60" w:after="60"/>
      </w:pPr>
      <w:r>
        <w:rPr>
          <w:rFonts w:ascii="Arial" w:cs="Arial" w:eastAsia="Arial" w:hAnsi="Arial"/>
          <w:color w:val="404040"/>
          <w:sz w:val="20"/>
          <w:szCs w:val="20"/>
        </w:rPr>
        <w:t xml:space="preserve">Draft minutes shall be circulated to all members for review and approval.</w:t>
      </w:r>
    </w:p>
    <w:p>
      <w:pPr>
        <w:pStyle w:val="ListParagraph"/>
        <w:numPr>
          <w:ilvl w:val="0"/>
          <w:numId w:val="2"/>
        </w:numPr>
        <w:spacing w:before="60" w:after="60"/>
      </w:pPr>
      <w:r>
        <w:rPr>
          <w:rFonts w:ascii="Arial" w:cs="Arial" w:eastAsia="Arial" w:hAnsi="Arial"/>
          <w:color w:val="404040"/>
          <w:sz w:val="20"/>
          <w:szCs w:val="20"/>
        </w:rPr>
        <w:t xml:space="preserve">Approved minutes shall be signed by the Chairman and maintained in the Committee's official records.</w:t>
      </w:r>
    </w:p>
    <w:p>
      <w:pPr>
        <w:pStyle w:val="ListParagraph"/>
        <w:numPr>
          <w:ilvl w:val="0"/>
          <w:numId w:val="2"/>
        </w:numPr>
        <w:spacing w:before="60" w:after="60"/>
      </w:pPr>
      <w:r>
        <w:rPr>
          <w:rFonts w:ascii="Arial" w:cs="Arial" w:eastAsia="Arial" w:hAnsi="Arial"/>
          <w:color w:val="404040"/>
          <w:sz w:val="20"/>
          <w:szCs w:val="20"/>
        </w:rPr>
        <w:t xml:space="preserve">Key decisions and action items shall be tracked until closure.</w:t>
      </w:r>
    </w:p>
    <w:p>
      <w:pPr>
        <w:spacing w:before="120" w:after="120"/>
      </w:pPr>
      <w:r>
        <w:t xml:space="preserve"/>
      </w:r>
    </w:p>
    <w:p>
      <w:pPr>
        <w:pStyle w:val="Heading2"/>
      </w:pPr>
      <w:r>
        <w:rPr>
          <w:rFonts w:ascii="Arial" w:cs="Arial" w:eastAsia="Arial" w:hAnsi="Arial"/>
          <w:b/>
          <w:bCs/>
          <w:color w:val="2E75B6"/>
          <w:sz w:val="24"/>
          <w:szCs w:val="24"/>
        </w:rPr>
        <w:t xml:space="preserve">4.5 Reporting to the Board</w:t>
      </w:r>
    </w:p>
    <w:p>
      <w:pPr>
        <w:spacing w:before="80" w:after="80"/>
        <w:jc w:val="both"/>
      </w:pPr>
      <w:r>
        <w:rPr>
          <w:rFonts w:ascii="Arial" w:cs="Arial" w:eastAsia="Arial" w:hAnsi="Arial"/>
          <w:color w:val="404040"/>
          <w:sz w:val="20"/>
          <w:szCs w:val="20"/>
        </w:rPr>
        <w:t xml:space="preserve">The Chairman of the BITC shall present a summary report of the Committee's activities, findings, and recommendations to the full Board of Directors at each Board meeting, and at a minimum, quarterly.</w:t>
      </w:r>
    </w:p>
    <w:p>
      <w:pPr>
        <w:spacing w:before="120" w:after="120"/>
      </w:pPr>
      <w:r>
        <w:t xml:space="preserve"/>
      </w:r>
    </w:p>
    <w:p>
      <w:pPr>
        <w:pStyle w:val="Heading1"/>
      </w:pPr>
      <w:r>
        <w:rPr>
          <w:rFonts w:ascii="Arial" w:cs="Arial" w:eastAsia="Arial" w:hAnsi="Arial"/>
          <w:b/>
          <w:bCs/>
          <w:color w:val="1F4E79"/>
          <w:sz w:val="30"/>
          <w:szCs w:val="30"/>
        </w:rPr>
        <w:t xml:space="preserve">5. Authority and Delegations</w:t>
      </w:r>
    </w:p>
    <w:p>
      <w:pPr>
        <w:pStyle w:val="Heading2"/>
      </w:pPr>
      <w:r>
        <w:rPr>
          <w:rFonts w:ascii="Arial" w:cs="Arial" w:eastAsia="Arial" w:hAnsi="Arial"/>
          <w:b/>
          <w:bCs/>
          <w:color w:val="2E75B6"/>
          <w:sz w:val="24"/>
          <w:szCs w:val="24"/>
        </w:rPr>
        <w:t xml:space="preserve">5.1 Authority</w:t>
      </w:r>
    </w:p>
    <w:p>
      <w:pPr>
        <w:pStyle w:val="ListParagraph"/>
        <w:numPr>
          <w:ilvl w:val="0"/>
          <w:numId w:val="2"/>
        </w:numPr>
        <w:spacing w:before="60" w:after="60"/>
      </w:pPr>
      <w:r>
        <w:rPr>
          <w:rFonts w:ascii="Arial" w:cs="Arial" w:eastAsia="Arial" w:hAnsi="Arial"/>
          <w:color w:val="404040"/>
          <w:sz w:val="20"/>
          <w:szCs w:val="20"/>
        </w:rPr>
        <w:t xml:space="preserve">The Committee has the authority to obtain information from any employee or external advisor necessary to fulfill its responsibilities.</w:t>
      </w:r>
    </w:p>
    <w:p>
      <w:pPr>
        <w:pStyle w:val="ListParagraph"/>
        <w:numPr>
          <w:ilvl w:val="0"/>
          <w:numId w:val="2"/>
        </w:numPr>
        <w:spacing w:before="60" w:after="60"/>
      </w:pPr>
      <w:r>
        <w:rPr>
          <w:rFonts w:ascii="Arial" w:cs="Arial" w:eastAsia="Arial" w:hAnsi="Arial"/>
          <w:color w:val="404040"/>
          <w:sz w:val="20"/>
          <w:szCs w:val="20"/>
        </w:rPr>
        <w:t xml:space="preserve">The Committee may commission independent reviews, audits, or assessments of technology-related matters.</w:t>
      </w:r>
    </w:p>
    <w:p>
      <w:pPr>
        <w:pStyle w:val="ListParagraph"/>
        <w:numPr>
          <w:ilvl w:val="0"/>
          <w:numId w:val="2"/>
        </w:numPr>
        <w:spacing w:before="60" w:after="60"/>
      </w:pPr>
      <w:r>
        <w:rPr>
          <w:rFonts w:ascii="Arial" w:cs="Arial" w:eastAsia="Arial" w:hAnsi="Arial"/>
          <w:color w:val="404040"/>
          <w:sz w:val="20"/>
          <w:szCs w:val="20"/>
        </w:rPr>
        <w:t xml:space="preserve">The Committee may recommend approval or rejection of technology-related policies, strategies, and major projects to the Board.</w:t>
      </w:r>
    </w:p>
    <w:p>
      <w:pPr>
        <w:spacing w:before="120" w:after="120"/>
      </w:pPr>
      <w:r>
        <w:t xml:space="preserve"/>
      </w:r>
    </w:p>
    <w:p>
      <w:pPr>
        <w:pStyle w:val="Heading2"/>
      </w:pPr>
      <w:r>
        <w:rPr>
          <w:rFonts w:ascii="Arial" w:cs="Arial" w:eastAsia="Arial" w:hAnsi="Arial"/>
          <w:b/>
          <w:bCs/>
          <w:color w:val="2E75B6"/>
          <w:sz w:val="24"/>
          <w:szCs w:val="24"/>
        </w:rPr>
        <w:t xml:space="preserve">5.2 Delegations</w:t>
      </w:r>
    </w:p>
    <w:p>
      <w:pPr>
        <w:pStyle w:val="ListParagraph"/>
        <w:numPr>
          <w:ilvl w:val="0"/>
          <w:numId w:val="2"/>
        </w:numPr>
        <w:spacing w:before="60" w:after="60"/>
      </w:pPr>
      <w:r>
        <w:rPr>
          <w:rFonts w:ascii="Arial" w:cs="Arial" w:eastAsia="Arial" w:hAnsi="Arial"/>
          <w:color w:val="404040"/>
          <w:sz w:val="20"/>
          <w:szCs w:val="20"/>
        </w:rPr>
        <w:t xml:space="preserve">The Committee may delegate specific monitoring or reporting tasks to the IT Steering Committee, subject to the Committee's oversight.</w:t>
      </w:r>
    </w:p>
    <w:p>
      <w:pPr>
        <w:pStyle w:val="ListParagraph"/>
        <w:numPr>
          <w:ilvl w:val="0"/>
          <w:numId w:val="2"/>
        </w:numPr>
        <w:spacing w:before="60" w:after="60"/>
      </w:pPr>
      <w:r>
        <w:rPr>
          <w:rFonts w:ascii="Arial" w:cs="Arial" w:eastAsia="Arial" w:hAnsi="Arial"/>
          <w:color w:val="404040"/>
          <w:sz w:val="20"/>
          <w:szCs w:val="20"/>
        </w:rPr>
        <w:t xml:space="preserve">The Committee does not have the authority to approve matters that require full Board approval under the Bank's governance framework.</w:t>
      </w:r>
    </w:p>
    <w:p>
      <w:pPr>
        <w:spacing w:before="120" w:after="120"/>
      </w:pPr>
      <w:r>
        <w:t xml:space="preserve"/>
      </w:r>
    </w:p>
    <w:p>
      <w:pPr>
        <w:pStyle w:val="Heading1"/>
      </w:pPr>
      <w:r>
        <w:rPr>
          <w:rFonts w:ascii="Arial" w:cs="Arial" w:eastAsia="Arial" w:hAnsi="Arial"/>
          <w:b/>
          <w:bCs/>
          <w:color w:val="1F4E79"/>
          <w:sz w:val="30"/>
          <w:szCs w:val="30"/>
        </w:rPr>
        <w:t xml:space="preserve">6. Review of Terms of Reference</w:t>
      </w:r>
    </w:p>
    <w:p>
      <w:pPr>
        <w:spacing w:before="80" w:after="80"/>
        <w:jc w:val="both"/>
      </w:pPr>
      <w:r>
        <w:rPr>
          <w:rFonts w:ascii="Arial" w:cs="Arial" w:eastAsia="Arial" w:hAnsi="Arial"/>
          <w:color w:val="404040"/>
          <w:sz w:val="20"/>
          <w:szCs w:val="20"/>
        </w:rPr>
        <w:t xml:space="preserve">These Terms of Reference shall be reviewed and updated at least every two (2) years or more frequently if required by regulatory changes or significant developments in the Bank's technology governance requirements. Any revisions shall be submitted to the Board of Directors for approval.</w:t>
      </w:r>
    </w:p>
    <w:p>
      <w:pPr>
        <w:spacing w:before="120" w:after="120"/>
      </w:pPr>
      <w:r>
        <w:t xml:space="preserve"/>
      </w:r>
    </w:p>
    <w:p>
      <w:pPr>
        <w:pStyle w:val="Heading1"/>
      </w:pPr>
      <w:r>
        <w:rPr>
          <w:rFonts w:ascii="Arial" w:cs="Arial" w:eastAsia="Arial" w:hAnsi="Arial"/>
          <w:b/>
          <w:bCs/>
          <w:color w:val="1F4E79"/>
          <w:sz w:val="30"/>
          <w:szCs w:val="30"/>
        </w:rPr>
        <w:t xml:space="preserve">7. Regulatory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Board IT Committee establishment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SBP BPRD Circular No. 05/2017 — Section 1.5.1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Minimum 3 directors including 1 independent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SBP BPRD Circular No. 05/2017 — Section 1.5.1(b)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Review IT and Digital Strategies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SBP BPRD Circular No. 05/2017 — Section 1.5.1(d)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Cyber resilience oversight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SBP BPRD Circular No. 05/2017 — Section 1.5.1(e)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Monitor technology projects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SBP BPRD Circular No. 05/2017 — Section 1.5.1(f)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Procurement alignment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SBP BPRD Circular No. 05/2017 — Section 1.5.1(g)</w:t>
            </w:r>
          </w:p>
        </w:tc>
      </w:tr>
    </w:tbl>
    <w:p>
      <w:pPr>
        <w:spacing w:before="240" w:after="120"/>
      </w:pPr>
      <w:r>
        <w:t xml:space="preserve"/>
      </w:r>
    </w:p>
    <w:p>
      <w:pPr>
        <w:pBdr>
          <w:top w:val="single" w:color="2E75B6" w:sz="6" w:space="4"/>
        </w:pBdr>
        <w:jc w:val="center"/>
      </w:pPr>
      <w:r>
        <w:rPr>
          <w:rFonts w:ascii="Arial" w:cs="Arial" w:eastAsia="Arial" w:hAnsi="Arial"/>
          <w:b/>
          <w:bCs/>
          <w:color w:val="1F4E79"/>
          <w:sz w:val="20"/>
          <w:szCs w:val="20"/>
        </w:rPr>
        <w:t xml:space="preserve">— END OF TERMS OF REFERENCE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404040"/>
        <w:sz w:val="16"/>
        <w:szCs w:val="16"/>
      </w:rPr>
      <w:t xml:space="preserve">IT-GOV-004 | Version: 1.0 | Owner: Company Secretary / CIO</w:t>
    </w:r>
    <w:r>
      <w:rPr>
        <w:rFonts w:ascii="Arial" w:cs="Arial" w:eastAsia="Arial" w:hAnsi="Arial"/>
      </w:rPr>
      <w:t xml:space="preserve">	</w:t>
    </w:r>
    <w:r>
      <w:rPr>
        <w:rFonts w:ascii="Arial" w:cs="Arial" w:eastAsia="Arial" w:hAnsi="Arial"/>
        <w:color w:val="40404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4E79"/>
        <w:sz w:val="18"/>
        <w:szCs w:val="18"/>
      </w:rPr>
      <w:t xml:space="preserve">[Bank Name] | Board IT Committee — Terms of Reference</w:t>
    </w:r>
    <w:r>
      <w:rPr>
        <w:rFonts w:ascii="Arial" w:cs="Arial" w:eastAsia="Arial" w:hAnsi="Arial"/>
      </w:rPr>
      <w:t xml:space="preserve">	</w:t>
    </w:r>
    <w:r>
      <w:rPr>
        <w:rFonts w:ascii="Arial" w:cs="Arial" w:eastAsia="Arial" w:hAnsi="Arial"/>
        <w:b/>
        <w:bCs/>
        <w:color w:val="FF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2026-03-30T06:29:14.900Z</dcterms:created>
  <dcterms:modified xsi:type="dcterms:W3CDTF">2026-03-30T06:29:14.903Z</dcterms:modified>
</cp:coreProperties>
</file>

<file path=docProps/custom.xml><?xml version="1.0" encoding="utf-8"?>
<Properties xmlns="http://schemas.openxmlformats.org/officeDocument/2006/custom-properties" xmlns:vt="http://schemas.openxmlformats.org/officeDocument/2006/docPropsVTypes"/>
</file>