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A0E8F" w:val="clear"/>
        <w:spacing w:after="0" w:before="0"/>
      </w:pPr>
      <w:r>
        <w:rPr>
          <w:rFonts w:ascii="Arial" w:cs="Arial" w:eastAsia="Arial" w:hAnsi="Arial"/>
          <w:b/>
          <w:bCs/>
          <w:color w:val="FFFFFF"/>
          <w:sz w:val="32"/>
          <w:szCs w:val="32"/>
        </w:rPr>
        <w:t xml:space="preserve">COMPLYVERSE  |  DOCUMENTATION TEMPLATES</w:t>
      </w:r>
    </w:p>
    <w:p>
      <w:pPr>
        <w:shd w:fill="4A0E8F" w:val="clear"/>
        <w:spacing w:after="280" w:before="60"/>
      </w:pPr>
      <w:r>
        <w:rPr>
          <w:rFonts w:ascii="Arial" w:cs="Arial" w:eastAsia="Arial" w:hAnsi="Arial"/>
          <w:color w:val="C8A8F8"/>
          <w:sz w:val="22"/>
          <w:szCs w:val="22"/>
        </w:rPr>
        <w:t xml:space="preserve">SDLC Templates: Development, Testing, Training &amp; Operational — SBP ETGRMF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AD6FC" w:sz="4"/>
              <w:left w:val="single" w:color="EAD6FC" w:sz="4"/>
              <w:bottom w:val="single" w:color="EAD6FC" w:sz="4"/>
              <w:right w:val="single" w:color="EAD6FC" w:sz="4"/>
            </w:tcBorders>
            <w:shd w:fill="EAD6FC" w:val="clear"/>
            <w:tcMar>
              <w:top w:type="dxa" w:w="100"/>
              <w:left w:type="dxa" w:w="160"/>
              <w:bottom w:type="dxa" w:w="100"/>
              <w:right w:type="dxa" w:w="160"/>
            </w:tcMar>
          </w:tcPr>
          <w:p>
            <w:r>
              <w:rPr>
                <w:rFonts w:ascii="Arial" w:cs="Arial" w:eastAsia="Arial" w:hAnsi="Arial"/>
                <w:b/>
                <w:bCs/>
                <w:color w:val="4A0E8F"/>
                <w:sz w:val="17"/>
                <w:szCs w:val="17"/>
              </w:rPr>
              <w:t xml:space="preserve">Document Ref</w:t>
            </w:r>
          </w:p>
          <w:p>
            <w:r>
              <w:rPr>
                <w:rFonts w:ascii="Arial" w:cs="Arial" w:eastAsia="Arial" w:hAnsi="Arial"/>
                <w:color w:val="1A1A1A"/>
                <w:sz w:val="19"/>
                <w:szCs w:val="19"/>
              </w:rPr>
              <w:t xml:space="preserve">CV-SDLC-TMPL-002</w:t>
            </w:r>
          </w:p>
        </w:tc>
        <w:tc>
          <w:tcPr>
            <w:tcW w:type="dxa" w:w="2340"/>
            <w:tcBorders>
              <w:top w:val="single" w:color="EAD6FC" w:sz="4"/>
              <w:left w:val="single" w:color="EAD6FC" w:sz="4"/>
              <w:bottom w:val="single" w:color="EAD6FC" w:sz="4"/>
              <w:right w:val="single" w:color="EAD6FC" w:sz="4"/>
            </w:tcBorders>
            <w:shd w:fill="EAD6FC" w:val="clear"/>
            <w:tcMar>
              <w:top w:type="dxa" w:w="100"/>
              <w:left w:type="dxa" w:w="160"/>
              <w:bottom w:type="dxa" w:w="100"/>
              <w:right w:type="dxa" w:w="160"/>
            </w:tcMar>
          </w:tcPr>
          <w:p>
            <w:r>
              <w:rPr>
                <w:rFonts w:ascii="Arial" w:cs="Arial" w:eastAsia="Arial" w:hAnsi="Arial"/>
                <w:b/>
                <w:bCs/>
                <w:color w:val="4A0E8F"/>
                <w:sz w:val="17"/>
                <w:szCs w:val="17"/>
              </w:rPr>
              <w:t xml:space="preserve">Effective Date</w:t>
            </w:r>
          </w:p>
          <w:p>
            <w:r>
              <w:rPr>
                <w:rFonts w:ascii="Arial" w:cs="Arial" w:eastAsia="Arial" w:hAnsi="Arial"/>
                <w:color w:val="1A1A1A"/>
                <w:sz w:val="19"/>
                <w:szCs w:val="19"/>
              </w:rPr>
              <w:t xml:space="preserve">March 28, 2025</w:t>
            </w:r>
          </w:p>
        </w:tc>
        <w:tc>
          <w:tcPr>
            <w:tcW w:type="dxa" w:w="2340"/>
            <w:tcBorders>
              <w:top w:val="single" w:color="EAD6FC" w:sz="4"/>
              <w:left w:val="single" w:color="EAD6FC" w:sz="4"/>
              <w:bottom w:val="single" w:color="EAD6FC" w:sz="4"/>
              <w:right w:val="single" w:color="EAD6FC" w:sz="4"/>
            </w:tcBorders>
            <w:shd w:fill="EAD6FC" w:val="clear"/>
            <w:tcMar>
              <w:top w:type="dxa" w:w="100"/>
              <w:left w:type="dxa" w:w="160"/>
              <w:bottom w:type="dxa" w:w="100"/>
              <w:right w:type="dxa" w:w="160"/>
            </w:tcMar>
          </w:tcPr>
          <w:p>
            <w:r>
              <w:rPr>
                <w:rFonts w:ascii="Arial" w:cs="Arial" w:eastAsia="Arial" w:hAnsi="Arial"/>
                <w:b/>
                <w:bCs/>
                <w:color w:val="4A0E8F"/>
                <w:sz w:val="17"/>
                <w:szCs w:val="17"/>
              </w:rPr>
              <w:t xml:space="preserve">Total Templates</w:t>
            </w:r>
          </w:p>
          <w:p>
            <w:r>
              <w:rPr>
                <w:rFonts w:ascii="Arial" w:cs="Arial" w:eastAsia="Arial" w:hAnsi="Arial"/>
                <w:color w:val="1A1A1A"/>
                <w:sz w:val="19"/>
                <w:szCs w:val="19"/>
              </w:rPr>
              <w:t xml:space="preserve">19 Templates</w:t>
            </w:r>
          </w:p>
        </w:tc>
        <w:tc>
          <w:tcPr>
            <w:tcW w:type="dxa" w:w="2340"/>
            <w:tcBorders>
              <w:top w:val="single" w:color="EAD6FC" w:sz="4"/>
              <w:left w:val="single" w:color="EAD6FC" w:sz="4"/>
              <w:bottom w:val="single" w:color="EAD6FC" w:sz="4"/>
              <w:right w:val="single" w:color="EAD6FC" w:sz="4"/>
            </w:tcBorders>
            <w:shd w:fill="EAD6FC" w:val="clear"/>
            <w:tcMar>
              <w:top w:type="dxa" w:w="100"/>
              <w:left w:type="dxa" w:w="160"/>
              <w:bottom w:type="dxa" w:w="100"/>
              <w:right w:type="dxa" w:w="160"/>
            </w:tcMar>
          </w:tcPr>
          <w:p>
            <w:r>
              <w:rPr>
                <w:rFonts w:ascii="Arial" w:cs="Arial" w:eastAsia="Arial" w:hAnsi="Arial"/>
                <w:b/>
                <w:bCs/>
                <w:color w:val="4A0E8F"/>
                <w:sz w:val="17"/>
                <w:szCs w:val="17"/>
              </w:rPr>
              <w:t xml:space="preserve">Framework Ref</w:t>
            </w:r>
          </w:p>
          <w:p>
            <w:r>
              <w:rPr>
                <w:rFonts w:ascii="Arial" w:cs="Arial" w:eastAsia="Arial" w:hAnsi="Arial"/>
                <w:color w:val="1A1A1A"/>
                <w:sz w:val="19"/>
                <w:szCs w:val="19"/>
              </w:rPr>
              <w:t xml:space="preserve">SBP ETGRMF — SDLC Controls</w:t>
            </w:r>
          </w:p>
        </w:tc>
      </w:tr>
    </w:tbl>
    <w:p>
      <w:pPr>
        <w:spacing w:after="200" w:before="0"/>
      </w:pPr>
      <w:r>
        <w:t xml:space="preserve"/>
      </w:r>
    </w:p>
    <w:p>
      <w:pPr>
        <w:spacing w:after="140" w:before="280"/>
      </w:pPr>
      <w:r>
        <w:rPr>
          <w:rFonts w:ascii="Arial" w:cs="Arial" w:eastAsia="Arial" w:hAnsi="Arial"/>
          <w:b/>
          <w:bCs/>
          <w:color w:val="4A0E8F"/>
          <w:sz w:val="24"/>
          <w:szCs w:val="24"/>
        </w:rPr>
        <w:t xml:space="preserve">1. PURPOSE</w:t>
      </w:r>
    </w:p>
    <w:p>
      <w:pPr>
        <w:pBdr>
          <w:bottom w:val="single" w:color="4A0E8F" w:sz="8" w:space="1"/>
        </w:pBdr>
        <w:spacing w:after="120" w:before="0"/>
      </w:pPr>
      <w:r>
        <w:t xml:space="preserve"/>
      </w:r>
    </w:p>
    <w:p>
      <w:pPr>
        <w:spacing w:after="100" w:before="80"/>
      </w:pPr>
      <w:r>
        <w:rPr>
          <w:rFonts w:ascii="Arial" w:cs="Arial" w:eastAsia="Arial" w:hAnsi="Arial"/>
          <w:color w:val="1A1A1A"/>
          <w:sz w:val="20"/>
          <w:szCs w:val="20"/>
        </w:rPr>
        <w:t xml:space="preserve">This document provides the official template register for DemoTech Enterprises (Pvt.) Ltd., listing all standardised documentation templates used across the SDLC. Using approved templates ensures consistency, completeness, and auditability of project documentation across all development, testing, training, and operational activities.</w:t>
      </w:r>
    </w:p>
    <w:p>
      <w:pPr>
        <w:spacing w:after="80" w:before="0"/>
      </w:pPr>
      <w:r>
        <w:t xml:space="preserve"/>
      </w:r>
    </w:p>
    <w:p>
      <w:pPr>
        <w:spacing w:after="100" w:before="80"/>
      </w:pPr>
      <w:r>
        <w:rPr>
          <w:rFonts w:ascii="Arial" w:cs="Arial" w:eastAsia="Arial" w:hAnsi="Arial"/>
          <w:color w:val="1A1A1A"/>
          <w:sz w:val="20"/>
          <w:szCs w:val="20"/>
        </w:rPr>
        <w:t xml:space="preserve">All templates are maintained in the ComplyVerse GRC platform document library and are version-controlled. Project teams must use the current approved version of each template. Deviation from approved templates requires written approval from IT Governance.</w:t>
      </w:r>
    </w:p>
    <w:p>
      <w:pPr>
        <w:spacing w:after="200" w:before="0"/>
      </w:pPr>
      <w:r>
        <w:t xml:space="preserve"/>
      </w:r>
    </w:p>
    <w:p>
      <w:pPr>
        <w:spacing w:after="140" w:before="280"/>
      </w:pPr>
      <w:r>
        <w:rPr>
          <w:rFonts w:ascii="Arial" w:cs="Arial" w:eastAsia="Arial" w:hAnsi="Arial"/>
          <w:b/>
          <w:bCs/>
          <w:color w:val="4A0E8F"/>
          <w:sz w:val="24"/>
          <w:szCs w:val="24"/>
        </w:rPr>
        <w:t xml:space="preserve">2. TEMPLATE INVENTORY SUMMARY</w:t>
      </w:r>
    </w:p>
    <w:p>
      <w:pPr>
        <w:pBdr>
          <w:bottom w:val="single" w:color="4A0E8F"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980"/>
        <w:gridCol w:w="1980"/>
      </w:tblGrid>
      <w:tr>
        <w:tc>
          <w:tcPr>
            <w:tcW w:type="dxa" w:w="36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Category</w:t>
            </w:r>
          </w:p>
        </w:tc>
        <w:tc>
          <w:tcPr>
            <w:tcW w:type="dxa" w:w="18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Template Count</w:t>
            </w:r>
          </w:p>
        </w:tc>
        <w:tc>
          <w:tcPr>
            <w:tcW w:type="dxa" w:w="198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Mandatory Templates</w:t>
            </w:r>
          </w:p>
        </w:tc>
        <w:tc>
          <w:tcPr>
            <w:tcW w:type="dxa" w:w="198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Recommended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Development (Initiation, Requirements, Design, Development)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4A0E8F"/>
                <w:sz w:val="19"/>
                <w:szCs w:val="19"/>
              </w:rPr>
              <w:t xml:space="preserve">8</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8</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0</w:t>
            </w:r>
          </w:p>
        </w:tc>
      </w:tr>
      <w:tr>
        <w:tc>
          <w:tcPr>
            <w:tcW w:type="dxa" w:w="3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Testing</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4A0E8F"/>
                <w:sz w:val="19"/>
                <w:szCs w:val="19"/>
              </w:rPr>
              <w:t xml:space="preserve">6</w:t>
            </w:r>
          </w:p>
        </w:tc>
        <w:tc>
          <w:tcPr>
            <w:tcW w:type="dxa" w:w="19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6</w:t>
            </w:r>
          </w:p>
        </w:tc>
        <w:tc>
          <w:tcPr>
            <w:tcW w:type="dxa" w:w="19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Training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4A0E8F"/>
                <w:sz w:val="19"/>
                <w:szCs w:val="19"/>
              </w:rPr>
              <w:t xml:space="preserve">2</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2</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0</w:t>
            </w:r>
          </w:p>
        </w:tc>
      </w:tr>
      <w:tr>
        <w:tc>
          <w:tcPr>
            <w:tcW w:type="dxa" w:w="3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Operational &amp; Deployment</w:t>
            </w:r>
          </w:p>
        </w:tc>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4A0E8F"/>
                <w:sz w:val="19"/>
                <w:szCs w:val="19"/>
              </w:rPr>
              <w:t xml:space="preserve">3</w:t>
            </w:r>
          </w:p>
        </w:tc>
        <w:tc>
          <w:tcPr>
            <w:tcW w:type="dxa" w:w="19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3</w:t>
            </w:r>
          </w:p>
        </w:tc>
        <w:tc>
          <w:tcPr>
            <w:tcW w:type="dxa" w:w="198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0</w:t>
            </w:r>
          </w:p>
        </w:tc>
      </w:tr>
      <w:tr>
        <w:tc>
          <w:tcPr>
            <w:tcW w:type="dxa" w:w="3600"/>
            <w:tcBorders>
              <w:top w:val="single" w:color="CCCCCC" w:sz="4"/>
              <w:left w:val="single" w:color="CCCCCC" w:sz="4"/>
              <w:bottom w:val="single" w:color="CCCCCC" w:sz="4"/>
              <w:right w:val="single" w:color="CCCCCC" w:sz="4"/>
            </w:tcBorders>
            <w:shd w:fill="EAD6FC" w:val="clear"/>
            <w:tcMar>
              <w:top w:type="dxa" w:w="80"/>
              <w:left w:type="dxa" w:w="140"/>
              <w:bottom w:type="dxa" w:w="80"/>
              <w:right w:type="dxa" w:w="140"/>
            </w:tcMar>
          </w:tcPr>
          <w:p>
            <w:r>
              <w:rPr>
                <w:rFonts w:ascii="Arial" w:cs="Arial" w:eastAsia="Arial" w:hAnsi="Arial"/>
                <w:b/>
                <w:bCs/>
                <w:color w:val="4A0E8F"/>
                <w:sz w:val="19"/>
                <w:szCs w:val="19"/>
              </w:rPr>
              <w:t xml:space="preserve">TOTAL</w:t>
            </w:r>
          </w:p>
        </w:tc>
        <w:tc>
          <w:tcPr>
            <w:tcW w:type="dxa" w:w="1800"/>
            <w:tcBorders>
              <w:top w:val="single" w:color="CCCCCC" w:sz="4"/>
              <w:left w:val="single" w:color="CCCCCC" w:sz="4"/>
              <w:bottom w:val="single" w:color="CCCCCC" w:sz="4"/>
              <w:right w:val="single" w:color="CCCCCC" w:sz="4"/>
            </w:tcBorders>
            <w:shd w:fill="EAD6FC" w:val="clear"/>
            <w:tcMar>
              <w:top w:type="dxa" w:w="80"/>
              <w:left w:type="dxa" w:w="140"/>
              <w:bottom w:type="dxa" w:w="80"/>
              <w:right w:type="dxa" w:w="140"/>
            </w:tcMar>
          </w:tcPr>
          <w:p>
            <w:r>
              <w:rPr>
                <w:rFonts w:ascii="Arial" w:cs="Arial" w:eastAsia="Arial" w:hAnsi="Arial"/>
                <w:b/>
                <w:bCs/>
                <w:color w:val="4A0E8F"/>
                <w:sz w:val="19"/>
                <w:szCs w:val="19"/>
              </w:rPr>
              <w:t xml:space="preserve">19</w:t>
            </w:r>
          </w:p>
        </w:tc>
        <w:tc>
          <w:tcPr>
            <w:tcW w:type="dxa" w:w="1980"/>
            <w:tcBorders>
              <w:top w:val="single" w:color="CCCCCC" w:sz="4"/>
              <w:left w:val="single" w:color="CCCCCC" w:sz="4"/>
              <w:bottom w:val="single" w:color="CCCCCC" w:sz="4"/>
              <w:right w:val="single" w:color="CCCCCC" w:sz="4"/>
            </w:tcBorders>
            <w:shd w:fill="EAD6FC" w:val="clear"/>
            <w:tcMar>
              <w:top w:type="dxa" w:w="80"/>
              <w:left w:type="dxa" w:w="140"/>
              <w:bottom w:type="dxa" w:w="80"/>
              <w:right w:type="dxa" w:w="140"/>
            </w:tcMar>
          </w:tcPr>
          <w:p>
            <w:r>
              <w:rPr>
                <w:rFonts w:ascii="Arial" w:cs="Arial" w:eastAsia="Arial" w:hAnsi="Arial"/>
                <w:b/>
                <w:bCs/>
                <w:color w:val="C0392B"/>
                <w:sz w:val="19"/>
                <w:szCs w:val="19"/>
              </w:rPr>
              <w:t xml:space="preserve">19</w:t>
            </w:r>
          </w:p>
        </w:tc>
        <w:tc>
          <w:tcPr>
            <w:tcW w:type="dxa" w:w="1980"/>
            <w:tcBorders>
              <w:top w:val="single" w:color="CCCCCC" w:sz="4"/>
              <w:left w:val="single" w:color="CCCCCC" w:sz="4"/>
              <w:bottom w:val="single" w:color="CCCCCC" w:sz="4"/>
              <w:right w:val="single" w:color="CCCCCC" w:sz="4"/>
            </w:tcBorders>
            <w:shd w:fill="EAD6FC" w:val="clear"/>
            <w:tcMar>
              <w:top w:type="dxa" w:w="80"/>
              <w:left w:type="dxa" w:w="140"/>
              <w:bottom w:type="dxa" w:w="80"/>
              <w:right w:type="dxa" w:w="140"/>
            </w:tcMar>
          </w:tcPr>
          <w:p>
            <w:r>
              <w:rPr>
                <w:rFonts w:ascii="Arial" w:cs="Arial" w:eastAsia="Arial" w:hAnsi="Arial"/>
                <w:b w:val="false"/>
                <w:bCs w:val="false"/>
                <w:color w:val="1A1A1A"/>
                <w:sz w:val="19"/>
                <w:szCs w:val="19"/>
              </w:rPr>
              <w:t xml:space="preserve">0</w:t>
            </w:r>
          </w:p>
        </w:tc>
      </w:tr>
    </w:tbl>
    <w:p>
      <w:pPr>
        <w:spacing w:after="200" w:before="0"/>
      </w:pPr>
      <w:r>
        <w:t xml:space="preserve"/>
      </w:r>
    </w:p>
    <w:p>
      <w:pPr>
        <w:spacing w:after="140" w:before="280"/>
      </w:pPr>
      <w:r>
        <w:rPr>
          <w:rFonts w:ascii="Arial" w:cs="Arial" w:eastAsia="Arial" w:hAnsi="Arial"/>
          <w:b/>
          <w:bCs/>
          <w:color w:val="4A0E8F"/>
          <w:sz w:val="24"/>
          <w:szCs w:val="24"/>
        </w:rPr>
        <w:t xml:space="preserve">3. DEVELOPMENT TEMPLATES</w:t>
      </w:r>
    </w:p>
    <w:p>
      <w:pPr>
        <w:pBdr>
          <w:bottom w:val="single" w:color="4A0E8F" w:sz="8" w:space="1"/>
        </w:pBdr>
        <w:spacing w:after="120" w:before="0"/>
      </w:pPr>
      <w:r>
        <w:t xml:space="preserve"/>
      </w:r>
    </w:p>
    <w:p>
      <w:pPr>
        <w:spacing w:after="100" w:before="80"/>
      </w:pPr>
      <w:r>
        <w:rPr>
          <w:rFonts w:ascii="Arial" w:cs="Arial" w:eastAsia="Arial" w:hAnsi="Arial"/>
          <w:color w:val="1A1A1A"/>
          <w:sz w:val="20"/>
          <w:szCs w:val="20"/>
        </w:rPr>
        <w:t xml:space="preserve">The following templates are used during the Initiation, Requirements, Design, and Development phases of the SDLC: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200"/>
        <w:gridCol w:w="4260"/>
      </w:tblGrid>
      <w:tr>
        <w:tc>
          <w:tcPr>
            <w:tcW w:type="dxa" w:w="13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Template ID</w:t>
            </w:r>
          </w:p>
        </w:tc>
        <w:tc>
          <w:tcPr>
            <w:tcW w:type="dxa" w:w="26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Template Name</w:t>
            </w:r>
          </w:p>
        </w:tc>
        <w:tc>
          <w:tcPr>
            <w:tcW w:type="dxa" w:w="12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426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Purpose &amp; Key Sections</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4A0E8F"/>
                <w:sz w:val="19"/>
                <w:szCs w:val="19"/>
              </w:rPr>
              <w:t xml:space="preserve">CV-TMPL-CHT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Project Charter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Initiation</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Formally authorises the project and defines scope at a high level.</w:t>
            </w:r>
          </w:p>
          <w:p>
            <w:pPr>
              <w:spacing w:after="0" w:before="0"/>
            </w:pPr>
            <w:r>
              <w:rPr>
                <w:rFonts w:ascii="Arial" w:cs="Arial" w:eastAsia="Arial" w:hAnsi="Arial"/>
                <w:i/>
                <w:iCs/>
                <w:color w:val="555555"/>
                <w:sz w:val="16"/>
                <w:szCs w:val="16"/>
              </w:rPr>
              <w:t xml:space="preserve">Sections: Project Overview | Objectives &amp; Success Criteria | Scope Inclusions/Exclusions | Stakeholders | High-Level Timeline | Budget | Risks | Approvals</w:t>
            </w:r>
          </w:p>
        </w:tc>
      </w:tr>
      <w:tr>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4A0E8F"/>
                <w:sz w:val="19"/>
                <w:szCs w:val="19"/>
              </w:rPr>
              <w:t xml:space="preserve">CV-TMPL-BRD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Business Requirements Document</w:t>
            </w:r>
          </w:p>
        </w:tc>
        <w:tc>
          <w:tcPr>
            <w:tcW w:type="dxa" w:w="1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Requirements</w:t>
            </w:r>
          </w:p>
        </w:tc>
        <w:tc>
          <w:tcPr>
            <w:tcW w:type="dxa" w:w="42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Captures all business needs in a structured, traceable format.</w:t>
            </w:r>
          </w:p>
          <w:p>
            <w:pPr>
              <w:spacing w:after="0" w:before="0"/>
            </w:pPr>
            <w:r>
              <w:rPr>
                <w:rFonts w:ascii="Arial" w:cs="Arial" w:eastAsia="Arial" w:hAnsi="Arial"/>
                <w:i/>
                <w:iCs/>
                <w:color w:val="555555"/>
                <w:sz w:val="16"/>
                <w:szCs w:val="16"/>
              </w:rPr>
              <w:t xml:space="preserve">Sections: Business Context | Functional Requirements | Regulatory Requirements | Use Cases | Acceptance Criteria | Sign-off Matrix</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4A0E8F"/>
                <w:sz w:val="19"/>
                <w:szCs w:val="19"/>
              </w:rPr>
              <w:t xml:space="preserve">CV-TMPL-FRS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Functional Requirements Specification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Requirements</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Translates business requirements into detailed functional specifications.</w:t>
            </w:r>
          </w:p>
          <w:p>
            <w:pPr>
              <w:spacing w:after="0" w:before="0"/>
            </w:pPr>
            <w:r>
              <w:rPr>
                <w:rFonts w:ascii="Arial" w:cs="Arial" w:eastAsia="Arial" w:hAnsi="Arial"/>
                <w:i/>
                <w:iCs/>
                <w:color w:val="555555"/>
                <w:sz w:val="16"/>
                <w:szCs w:val="16"/>
              </w:rPr>
              <w:t xml:space="preserve">Sections: System Context | Functional Requirements (FR-NNN) | Non-Functional Requirements | Data Requirements | Interface Requirements | Traceability Matrix</w:t>
            </w:r>
          </w:p>
        </w:tc>
      </w:tr>
      <w:tr>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4A0E8F"/>
                <w:sz w:val="19"/>
                <w:szCs w:val="19"/>
              </w:rPr>
              <w:t xml:space="preserve">CV-TMPL-HLD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High-Level Design Document</w:t>
            </w:r>
          </w:p>
        </w:tc>
        <w:tc>
          <w:tcPr>
            <w:tcW w:type="dxa" w:w="1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Design</w:t>
            </w:r>
          </w:p>
        </w:tc>
        <w:tc>
          <w:tcPr>
            <w:tcW w:type="dxa" w:w="42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Documents the system architecture and key design decisions.</w:t>
            </w:r>
          </w:p>
          <w:p>
            <w:pPr>
              <w:spacing w:after="0" w:before="0"/>
            </w:pPr>
            <w:r>
              <w:rPr>
                <w:rFonts w:ascii="Arial" w:cs="Arial" w:eastAsia="Arial" w:hAnsi="Arial"/>
                <w:i/>
                <w:iCs/>
                <w:color w:val="555555"/>
                <w:sz w:val="16"/>
                <w:szCs w:val="16"/>
              </w:rPr>
              <w:t xml:space="preserve">Sections: Architecture Overview | Component Diagram | Technology Stack | Integration Points | DR/HA Design | Security Architecture Summary</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4A0E8F"/>
                <w:sz w:val="19"/>
                <w:szCs w:val="19"/>
              </w:rPr>
              <w:t xml:space="preserve">CV-TMPL-LLD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Low-Level Design Document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Design</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Provides module-level design detail for developers.</w:t>
            </w:r>
          </w:p>
          <w:p>
            <w:pPr>
              <w:spacing w:after="0" w:before="0"/>
            </w:pPr>
            <w:r>
              <w:rPr>
                <w:rFonts w:ascii="Arial" w:cs="Arial" w:eastAsia="Arial" w:hAnsi="Arial"/>
                <w:i/>
                <w:iCs/>
                <w:color w:val="555555"/>
                <w:sz w:val="16"/>
                <w:szCs w:val="16"/>
              </w:rPr>
              <w:t xml:space="preserve">Sections: Module Descriptions | Class/Entity Diagrams | API Specifications | DB Schema | Error Handling | Security Controls per Module</w:t>
            </w:r>
          </w:p>
        </w:tc>
      </w:tr>
      <w:tr>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4A0E8F"/>
                <w:sz w:val="19"/>
                <w:szCs w:val="19"/>
              </w:rPr>
              <w:t xml:space="preserve">CV-TMPL-SAR</w:t>
            </w:r>
          </w:p>
        </w:tc>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Security Architecture Review</w:t>
            </w:r>
          </w:p>
        </w:tc>
        <w:tc>
          <w:tcPr>
            <w:tcW w:type="dxa" w:w="1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Design</w:t>
            </w:r>
          </w:p>
        </w:tc>
        <w:tc>
          <w:tcPr>
            <w:tcW w:type="dxa" w:w="42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Documents security controls and threat model for the system.</w:t>
            </w:r>
          </w:p>
          <w:p>
            <w:pPr>
              <w:spacing w:after="0" w:before="0"/>
            </w:pPr>
            <w:r>
              <w:rPr>
                <w:rFonts w:ascii="Arial" w:cs="Arial" w:eastAsia="Arial" w:hAnsi="Arial"/>
                <w:i/>
                <w:iCs/>
                <w:color w:val="555555"/>
                <w:sz w:val="16"/>
                <w:szCs w:val="16"/>
              </w:rPr>
              <w:t xml:space="preserve">Sections: Threat Model | Authentication Design | Authorisation Matrix | Encryption Standards | Security Testing Plan | Residual Risk Sign-off</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4A0E8F"/>
                <w:sz w:val="19"/>
                <w:szCs w:val="19"/>
              </w:rPr>
              <w:t xml:space="preserve">CV-TMPL-CRR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Code Review Record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Development</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Evidence of peer code review against coding standards.</w:t>
            </w:r>
          </w:p>
          <w:p>
            <w:pPr>
              <w:spacing w:after="0" w:before="0"/>
            </w:pPr>
            <w:r>
              <w:rPr>
                <w:rFonts w:ascii="Arial" w:cs="Arial" w:eastAsia="Arial" w:hAnsi="Arial"/>
                <w:i/>
                <w:iCs/>
                <w:color w:val="555555"/>
                <w:sz w:val="16"/>
                <w:szCs w:val="16"/>
              </w:rPr>
              <w:t xml:space="preserve">Sections: Module Reviewed | Reviewer(s) | Review Date | Findings | Severity | Resolution | Sign-off</w:t>
            </w:r>
          </w:p>
        </w:tc>
      </w:tr>
      <w:tr>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4A0E8F"/>
                <w:sz w:val="19"/>
                <w:szCs w:val="19"/>
              </w:rPr>
              <w:t xml:space="preserve">CV-TMPL-UTC</w:t>
            </w:r>
          </w:p>
        </w:tc>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Unit Test Cases &amp; Results</w:t>
            </w:r>
          </w:p>
        </w:tc>
        <w:tc>
          <w:tcPr>
            <w:tcW w:type="dxa" w:w="1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Development</w:t>
            </w:r>
          </w:p>
        </w:tc>
        <w:tc>
          <w:tcPr>
            <w:tcW w:type="dxa" w:w="42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Records developer unit test execution and coverage metrics.</w:t>
            </w:r>
          </w:p>
          <w:p>
            <w:pPr>
              <w:spacing w:after="0" w:before="0"/>
            </w:pPr>
            <w:r>
              <w:rPr>
                <w:rFonts w:ascii="Arial" w:cs="Arial" w:eastAsia="Arial" w:hAnsi="Arial"/>
                <w:i/>
                <w:iCs/>
                <w:color w:val="555555"/>
                <w:sz w:val="16"/>
                <w:szCs w:val="16"/>
              </w:rPr>
              <w:t xml:space="preserve">Sections: Test Case ID | Description | Input | Expected Output | Actual Output | Pass/Fail | Coverage % | Notes</w:t>
            </w:r>
          </w:p>
        </w:tc>
      </w:tr>
    </w:tbl>
    <w:p>
      <w:pPr>
        <w:spacing w:after="200" w:before="0"/>
      </w:pPr>
      <w:r>
        <w:t xml:space="preserve"/>
      </w:r>
    </w:p>
    <w:p>
      <w:pPr>
        <w:spacing w:after="140" w:before="280"/>
      </w:pPr>
      <w:r>
        <w:rPr>
          <w:rFonts w:ascii="Arial" w:cs="Arial" w:eastAsia="Arial" w:hAnsi="Arial"/>
          <w:b/>
          <w:bCs/>
          <w:color w:val="4A0E8F"/>
          <w:sz w:val="24"/>
          <w:szCs w:val="24"/>
        </w:rPr>
        <w:t xml:space="preserve">4. TESTING TEMPLATES</w:t>
      </w:r>
    </w:p>
    <w:p>
      <w:pPr>
        <w:pBdr>
          <w:bottom w:val="single" w:color="4A0E8F" w:sz="8" w:space="1"/>
        </w:pBdr>
        <w:spacing w:after="120" w:before="0"/>
      </w:pPr>
      <w:r>
        <w:t xml:space="preserve"/>
      </w:r>
    </w:p>
    <w:p>
      <w:pPr>
        <w:spacing w:after="100" w:before="80"/>
      </w:pPr>
      <w:r>
        <w:rPr>
          <w:rFonts w:ascii="Arial" w:cs="Arial" w:eastAsia="Arial" w:hAnsi="Arial"/>
          <w:color w:val="1A1A1A"/>
          <w:sz w:val="20"/>
          <w:szCs w:val="20"/>
        </w:rPr>
        <w:t xml:space="preserve">The following templates are used during all testing phases including SIT, UAT, performance, and security testing: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200"/>
        <w:gridCol w:w="4260"/>
      </w:tblGrid>
      <w:tr>
        <w:tc>
          <w:tcPr>
            <w:tcW w:type="dxa" w:w="13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Template ID</w:t>
            </w:r>
          </w:p>
        </w:tc>
        <w:tc>
          <w:tcPr>
            <w:tcW w:type="dxa" w:w="26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Template Name</w:t>
            </w:r>
          </w:p>
        </w:tc>
        <w:tc>
          <w:tcPr>
            <w:tcW w:type="dxa" w:w="12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426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Purpose &amp; Key Sections</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4A0E8F"/>
                <w:sz w:val="19"/>
                <w:szCs w:val="19"/>
              </w:rPr>
              <w:t xml:space="preserve">CV-TMPL-TSP</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Test Plan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Testing</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Defines the overall testing strategy and scope for the project.</w:t>
            </w:r>
          </w:p>
          <w:p>
            <w:pPr>
              <w:spacing w:after="0" w:before="0"/>
            </w:pPr>
            <w:r>
              <w:rPr>
                <w:rFonts w:ascii="Arial" w:cs="Arial" w:eastAsia="Arial" w:hAnsi="Arial"/>
                <w:i/>
                <w:iCs/>
                <w:color w:val="555555"/>
                <w:sz w:val="16"/>
                <w:szCs w:val="16"/>
              </w:rPr>
              <w:t xml:space="preserve">Sections: Test Scope | Testing Types | Entry/Exit Criteria | Resources | Schedule | Defect Management | Sign-off</w:t>
            </w:r>
          </w:p>
        </w:tc>
      </w:tr>
      <w:tr>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4A0E8F"/>
                <w:sz w:val="19"/>
                <w:szCs w:val="19"/>
              </w:rPr>
              <w:t xml:space="preserve">CV-TMPL-SIT</w:t>
            </w:r>
          </w:p>
        </w:tc>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SIT Test Cases &amp; Results</w:t>
            </w:r>
          </w:p>
        </w:tc>
        <w:tc>
          <w:tcPr>
            <w:tcW w:type="dxa" w:w="1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Testing</w:t>
            </w:r>
          </w:p>
        </w:tc>
        <w:tc>
          <w:tcPr>
            <w:tcW w:type="dxa" w:w="42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Documents system integration test scenarios and outcomes.</w:t>
            </w:r>
          </w:p>
          <w:p>
            <w:pPr>
              <w:spacing w:after="0" w:before="0"/>
            </w:pPr>
            <w:r>
              <w:rPr>
                <w:rFonts w:ascii="Arial" w:cs="Arial" w:eastAsia="Arial" w:hAnsi="Arial"/>
                <w:i/>
                <w:iCs/>
                <w:color w:val="555555"/>
                <w:sz w:val="16"/>
                <w:szCs w:val="16"/>
              </w:rPr>
              <w:t xml:space="preserve">Sections: Test Case ID | Integration Scenario | Pre-conditions | Steps | Expected Result | Actual Result | Pass/Fail | Defect Ref</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4A0E8F"/>
                <w:sz w:val="19"/>
                <w:szCs w:val="19"/>
              </w:rPr>
              <w:t xml:space="preserve">CV-TMPL-UAT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UAT Test Cases &amp; Results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Testing</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Business-user acceptance test documentation with formal sign-off.</w:t>
            </w:r>
          </w:p>
          <w:p>
            <w:pPr>
              <w:spacing w:after="0" w:before="0"/>
            </w:pPr>
            <w:r>
              <w:rPr>
                <w:rFonts w:ascii="Arial" w:cs="Arial" w:eastAsia="Arial" w:hAnsi="Arial"/>
                <w:i/>
                <w:iCs/>
                <w:color w:val="555555"/>
                <w:sz w:val="16"/>
                <w:szCs w:val="16"/>
              </w:rPr>
              <w:t xml:space="preserve">Sections: Test Scenario | Business Process | Tester | Date | Steps | Expected | Actual | Pass/Fail | Business Sign-off</w:t>
            </w:r>
          </w:p>
        </w:tc>
      </w:tr>
      <w:tr>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4A0E8F"/>
                <w:sz w:val="19"/>
                <w:szCs w:val="19"/>
              </w:rPr>
              <w:t xml:space="preserve">CV-TMPL-PTR</w:t>
            </w:r>
          </w:p>
        </w:tc>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Performance Test Report</w:t>
            </w:r>
          </w:p>
        </w:tc>
        <w:tc>
          <w:tcPr>
            <w:tcW w:type="dxa" w:w="1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Testing</w:t>
            </w:r>
          </w:p>
        </w:tc>
        <w:tc>
          <w:tcPr>
            <w:tcW w:type="dxa" w:w="42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Results of load, stress, and endurance testing against NFRs.</w:t>
            </w:r>
          </w:p>
          <w:p>
            <w:pPr>
              <w:spacing w:after="0" w:before="0"/>
            </w:pPr>
            <w:r>
              <w:rPr>
                <w:rFonts w:ascii="Arial" w:cs="Arial" w:eastAsia="Arial" w:hAnsi="Arial"/>
                <w:i/>
                <w:iCs/>
                <w:color w:val="555555"/>
                <w:sz w:val="16"/>
                <w:szCs w:val="16"/>
              </w:rPr>
              <w:t xml:space="preserve">Sections: Test Objectives | Environment | Test Scenarios | NFR Benchmarks | Results Summary | Graphs | Pass/Fail | Recommendations</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4A0E8F"/>
                <w:sz w:val="19"/>
                <w:szCs w:val="19"/>
              </w:rPr>
              <w:t xml:space="preserve">CV-TMPL-PNR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Pen Test Report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Testing</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Security penetration test findings and remediation tracking.</w:t>
            </w:r>
          </w:p>
          <w:p>
            <w:pPr>
              <w:spacing w:after="0" w:before="0"/>
            </w:pPr>
            <w:r>
              <w:rPr>
                <w:rFonts w:ascii="Arial" w:cs="Arial" w:eastAsia="Arial" w:hAnsi="Arial"/>
                <w:i/>
                <w:iCs/>
                <w:color w:val="555555"/>
                <w:sz w:val="16"/>
                <w:szCs w:val="16"/>
              </w:rPr>
              <w:t xml:space="preserve">Sections: Executive Summary | Scope | Methodology | Findings (Risk-rated) | CVSS Scores | Remediation Plan | Retest Results | Sign-off</w:t>
            </w:r>
          </w:p>
        </w:tc>
      </w:tr>
      <w:tr>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4A0E8F"/>
                <w:sz w:val="19"/>
                <w:szCs w:val="19"/>
              </w:rPr>
              <w:t xml:space="preserve">CV-TMPL-DLG</w:t>
            </w:r>
          </w:p>
        </w:tc>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Defect Log</w:t>
            </w:r>
          </w:p>
        </w:tc>
        <w:tc>
          <w:tcPr>
            <w:tcW w:type="dxa" w:w="1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Testing</w:t>
            </w:r>
          </w:p>
        </w:tc>
        <w:tc>
          <w:tcPr>
            <w:tcW w:type="dxa" w:w="42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Tracks all defects through their complete lifecycle.</w:t>
            </w:r>
          </w:p>
          <w:p>
            <w:pPr>
              <w:spacing w:after="0" w:before="0"/>
            </w:pPr>
            <w:r>
              <w:rPr>
                <w:rFonts w:ascii="Arial" w:cs="Arial" w:eastAsia="Arial" w:hAnsi="Arial"/>
                <w:i/>
                <w:iCs/>
                <w:color w:val="555555"/>
                <w:sz w:val="16"/>
                <w:szCs w:val="16"/>
              </w:rPr>
              <w:t xml:space="preserve">Sections: Defect ID | Title | Severity | Priority | Status | Raised By | Date | Assigned To | Resolution | Closure Date</w:t>
            </w:r>
          </w:p>
        </w:tc>
      </w:tr>
    </w:tbl>
    <w:p>
      <w:pPr>
        <w:spacing w:after="200" w:before="0"/>
      </w:pPr>
      <w:r>
        <w:t xml:space="preserve"/>
      </w:r>
    </w:p>
    <w:p>
      <w:pPr>
        <w:spacing w:after="140" w:before="280"/>
      </w:pPr>
      <w:r>
        <w:rPr>
          <w:rFonts w:ascii="Arial" w:cs="Arial" w:eastAsia="Arial" w:hAnsi="Arial"/>
          <w:b/>
          <w:bCs/>
          <w:color w:val="4A0E8F"/>
          <w:sz w:val="24"/>
          <w:szCs w:val="24"/>
        </w:rPr>
        <w:t xml:space="preserve">5. TRAINING TEMPLATES</w:t>
      </w:r>
    </w:p>
    <w:p>
      <w:pPr>
        <w:pBdr>
          <w:bottom w:val="single" w:color="4A0E8F" w:sz="8" w:space="1"/>
        </w:pBdr>
        <w:spacing w:after="120" w:before="0"/>
      </w:pPr>
      <w:r>
        <w:t xml:space="preserve"/>
      </w:r>
    </w:p>
    <w:p>
      <w:pPr>
        <w:spacing w:after="100" w:before="80"/>
      </w:pPr>
      <w:r>
        <w:rPr>
          <w:rFonts w:ascii="Arial" w:cs="Arial" w:eastAsia="Arial" w:hAnsi="Arial"/>
          <w:color w:val="1A1A1A"/>
          <w:sz w:val="20"/>
          <w:szCs w:val="20"/>
        </w:rPr>
        <w:t xml:space="preserve">The following templates are used to plan, deliver, and record training for all system implementations: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200"/>
        <w:gridCol w:w="4260"/>
      </w:tblGrid>
      <w:tr>
        <w:tc>
          <w:tcPr>
            <w:tcW w:type="dxa" w:w="13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Template ID</w:t>
            </w:r>
          </w:p>
        </w:tc>
        <w:tc>
          <w:tcPr>
            <w:tcW w:type="dxa" w:w="26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Template Name</w:t>
            </w:r>
          </w:p>
        </w:tc>
        <w:tc>
          <w:tcPr>
            <w:tcW w:type="dxa" w:w="12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426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Purpose &amp; Key Sections</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4A0E8F"/>
                <w:sz w:val="19"/>
                <w:szCs w:val="19"/>
              </w:rPr>
              <w:t xml:space="preserve">CV-TMPL-TNA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Training Needs Analysis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Training</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Identifies training requirements per user group and delivery method.</w:t>
            </w:r>
          </w:p>
          <w:p>
            <w:pPr>
              <w:spacing w:after="0" w:before="0"/>
            </w:pPr>
            <w:r>
              <w:rPr>
                <w:rFonts w:ascii="Arial" w:cs="Arial" w:eastAsia="Arial" w:hAnsi="Arial"/>
                <w:i/>
                <w:iCs/>
                <w:color w:val="555555"/>
                <w:sz w:val="16"/>
                <w:szCs w:val="16"/>
              </w:rPr>
              <w:t xml:space="preserve">Sections: User Groups | Current Skills | Required Skills | Gap Analysis | Training Type | Delivery Mode | Schedule | Success Metrics</w:t>
            </w:r>
          </w:p>
        </w:tc>
      </w:tr>
      <w:tr>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4A0E8F"/>
                <w:sz w:val="19"/>
                <w:szCs w:val="19"/>
              </w:rPr>
              <w:t xml:space="preserve">CV-TMPL-TDR</w:t>
            </w:r>
          </w:p>
        </w:tc>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Training Delivery Record</w:t>
            </w:r>
          </w:p>
        </w:tc>
        <w:tc>
          <w:tcPr>
            <w:tcW w:type="dxa" w:w="1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Training</w:t>
            </w:r>
          </w:p>
        </w:tc>
        <w:tc>
          <w:tcPr>
            <w:tcW w:type="dxa" w:w="42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Attendance register and completion evidence for training sessions.</w:t>
            </w:r>
          </w:p>
          <w:p>
            <w:pPr>
              <w:spacing w:after="0" w:before="0"/>
            </w:pPr>
            <w:r>
              <w:rPr>
                <w:rFonts w:ascii="Arial" w:cs="Arial" w:eastAsia="Arial" w:hAnsi="Arial"/>
                <w:i/>
                <w:iCs/>
                <w:color w:val="555555"/>
                <w:sz w:val="16"/>
                <w:szCs w:val="16"/>
              </w:rPr>
              <w:t xml:space="preserve">Sections: Session Title | Date | Trainer | Venue/Platform | Attendee List | Signatures | Assessment Score | Completion Status</w:t>
            </w:r>
          </w:p>
        </w:tc>
      </w:tr>
    </w:tbl>
    <w:p>
      <w:pPr>
        <w:spacing w:after="200" w:before="0"/>
      </w:pPr>
      <w:r>
        <w:t xml:space="preserve"/>
      </w:r>
    </w:p>
    <w:p>
      <w:pPr>
        <w:spacing w:after="140" w:before="280"/>
      </w:pPr>
      <w:r>
        <w:rPr>
          <w:rFonts w:ascii="Arial" w:cs="Arial" w:eastAsia="Arial" w:hAnsi="Arial"/>
          <w:b/>
          <w:bCs/>
          <w:color w:val="4A0E8F"/>
          <w:sz w:val="24"/>
          <w:szCs w:val="24"/>
        </w:rPr>
        <w:t xml:space="preserve">6. OPERATIONAL &amp; DEPLOYMENT TEMPLATES</w:t>
      </w:r>
    </w:p>
    <w:p>
      <w:pPr>
        <w:pBdr>
          <w:bottom w:val="single" w:color="4A0E8F" w:sz="8" w:space="1"/>
        </w:pBdr>
        <w:spacing w:after="120" w:before="0"/>
      </w:pPr>
      <w:r>
        <w:t xml:space="preserve"/>
      </w:r>
    </w:p>
    <w:p>
      <w:pPr>
        <w:spacing w:after="100" w:before="80"/>
      </w:pPr>
      <w:r>
        <w:rPr>
          <w:rFonts w:ascii="Arial" w:cs="Arial" w:eastAsia="Arial" w:hAnsi="Arial"/>
          <w:color w:val="1A1A1A"/>
          <w:sz w:val="20"/>
          <w:szCs w:val="20"/>
        </w:rPr>
        <w:t xml:space="preserve">The following templates are used during deployment, post-go-live operations, and phase gate management: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200"/>
        <w:gridCol w:w="4260"/>
      </w:tblGrid>
      <w:tr>
        <w:tc>
          <w:tcPr>
            <w:tcW w:type="dxa" w:w="13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Template ID</w:t>
            </w:r>
          </w:p>
        </w:tc>
        <w:tc>
          <w:tcPr>
            <w:tcW w:type="dxa" w:w="26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Template Name</w:t>
            </w:r>
          </w:p>
        </w:tc>
        <w:tc>
          <w:tcPr>
            <w:tcW w:type="dxa" w:w="120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4260"/>
            <w:tcBorders>
              <w:top w:val="single" w:color="4A0E8F" w:sz="6"/>
              <w:left w:val="single" w:color="4A0E8F" w:sz="6"/>
              <w:bottom w:val="single" w:color="4A0E8F" w:sz="6"/>
              <w:right w:val="single" w:color="4A0E8F" w:sz="6"/>
            </w:tcBorders>
            <w:shd w:fill="4A0E8F" w:val="clear"/>
            <w:tcMar>
              <w:top w:type="dxa" w:w="100"/>
              <w:left w:type="dxa" w:w="140"/>
              <w:bottom w:type="dxa" w:w="100"/>
              <w:right w:type="dxa" w:w="140"/>
            </w:tcMar>
          </w:tcPr>
          <w:p>
            <w:r>
              <w:rPr>
                <w:rFonts w:ascii="Arial" w:cs="Arial" w:eastAsia="Arial" w:hAnsi="Arial"/>
                <w:b/>
                <w:bCs/>
                <w:color w:val="FFFFFF"/>
                <w:sz w:val="19"/>
                <w:szCs w:val="19"/>
              </w:rPr>
              <w:t xml:space="preserve">Purpose &amp; Key Sections</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4A0E8F"/>
                <w:sz w:val="19"/>
                <w:szCs w:val="19"/>
              </w:rPr>
              <w:t xml:space="preserve">CV-TMPL-SOM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System Operations Manual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Operations</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Day-to-day runbook for operations and support teams.</w:t>
            </w:r>
          </w:p>
          <w:p>
            <w:pPr>
              <w:spacing w:after="0" w:before="0"/>
            </w:pPr>
            <w:r>
              <w:rPr>
                <w:rFonts w:ascii="Arial" w:cs="Arial" w:eastAsia="Arial" w:hAnsi="Arial"/>
                <w:i/>
                <w:iCs/>
                <w:color w:val="555555"/>
                <w:sz w:val="16"/>
                <w:szCs w:val="16"/>
              </w:rPr>
              <w:t xml:space="preserve">Sections: System Overview | Scheduled Jobs | Monitoring &amp; Alerts | Escalation Matrix | Backup Procedures | Common Issues &amp; Fixes | Vendor Contacts</w:t>
            </w:r>
          </w:p>
        </w:tc>
      </w:tr>
      <w:tr>
        <w:tc>
          <w:tcPr>
            <w:tcW w:type="dxa" w:w="13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4A0E8F"/>
                <w:sz w:val="19"/>
                <w:szCs w:val="19"/>
              </w:rPr>
              <w:t xml:space="preserve">CV-TMPL-DEP</w:t>
            </w:r>
          </w:p>
        </w:tc>
        <w:tc>
          <w:tcPr>
            <w:tcW w:type="dxa" w:w="26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Deployment Runbook</w:t>
            </w:r>
          </w:p>
        </w:tc>
        <w:tc>
          <w:tcPr>
            <w:tcW w:type="dxa" w:w="12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4A0E8F"/>
                <w:sz w:val="19"/>
                <w:szCs w:val="19"/>
              </w:rPr>
              <w:t xml:space="preserve">Deployment</w:t>
            </w:r>
          </w:p>
        </w:tc>
        <w:tc>
          <w:tcPr>
            <w:tcW w:type="dxa" w:w="42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Step-by-step production deployment and rollback procedures.</w:t>
            </w:r>
          </w:p>
          <w:p>
            <w:pPr>
              <w:spacing w:after="0" w:before="0"/>
            </w:pPr>
            <w:r>
              <w:rPr>
                <w:rFonts w:ascii="Arial" w:cs="Arial" w:eastAsia="Arial" w:hAnsi="Arial"/>
                <w:i/>
                <w:iCs/>
                <w:color w:val="555555"/>
                <w:sz w:val="16"/>
                <w:szCs w:val="16"/>
              </w:rPr>
              <w:t xml:space="preserve">Sections: Pre-Deployment Checklist | Deployment Steps | Verification Tests | Rollback Procedures | Go/No-Go Criteria | CAB Reference</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4A0E8F"/>
                <w:sz w:val="19"/>
                <w:szCs w:val="19"/>
              </w:rPr>
              <w:t xml:space="preserve">CV-TMPL-PHG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Phase Gate Checklist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4A0E8F"/>
                <w:sz w:val="19"/>
                <w:szCs w:val="19"/>
              </w:rPr>
              <w:t xml:space="preserve">All Phases</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60" w:before="0"/>
            </w:pPr>
            <w:r>
              <w:rPr>
                <w:rFonts w:ascii="Arial" w:cs="Arial" w:eastAsia="Arial" w:hAnsi="Arial"/>
                <w:color w:val="1A1A1A"/>
                <w:sz w:val="18"/>
                <w:szCs w:val="18"/>
              </w:rPr>
              <w:t xml:space="preserve">Evidence of documentation completeness at each SDLC phase gate.</w:t>
            </w:r>
          </w:p>
          <w:p>
            <w:pPr>
              <w:spacing w:after="0" w:before="0"/>
            </w:pPr>
            <w:r>
              <w:rPr>
                <w:rFonts w:ascii="Arial" w:cs="Arial" w:eastAsia="Arial" w:hAnsi="Arial"/>
                <w:i/>
                <w:iCs/>
                <w:color w:val="555555"/>
                <w:sz w:val="16"/>
                <w:szCs w:val="16"/>
              </w:rPr>
              <w:t xml:space="preserve">Sections: Phase Name | Mandatory Documents | Completion Status | Reviewer | Approver | Date | Gate Decision</w:t>
            </w:r>
          </w:p>
        </w:tc>
      </w:tr>
    </w:tbl>
    <w:p>
      <w:pPr>
        <w:spacing w:after="200" w:before="0"/>
      </w:pPr>
      <w:r>
        <w:t xml:space="preserve"/>
      </w:r>
    </w:p>
    <w:p>
      <w:pPr>
        <w:spacing w:after="140" w:before="280"/>
      </w:pPr>
      <w:r>
        <w:rPr>
          <w:rFonts w:ascii="Arial" w:cs="Arial" w:eastAsia="Arial" w:hAnsi="Arial"/>
          <w:b/>
          <w:bCs/>
          <w:color w:val="4A0E8F"/>
          <w:sz w:val="24"/>
          <w:szCs w:val="24"/>
        </w:rPr>
        <w:t xml:space="preserve">7. TEMPLATE USAGE STANDARDS</w:t>
      </w:r>
    </w:p>
    <w:p>
      <w:pPr>
        <w:pBdr>
          <w:bottom w:val="single" w:color="4A0E8F" w:sz="8" w:space="1"/>
        </w:pBdr>
        <w:spacing w:after="120" w:before="0"/>
      </w:pPr>
      <w:r>
        <w:t xml:space="preserve"/>
      </w:r>
    </w:p>
    <w:p>
      <w:pPr>
        <w:spacing w:after="60" w:before="60"/>
        <w:ind w:left="720"/>
      </w:pPr>
      <w:r>
        <w:rPr>
          <w:rFonts w:ascii="Arial" w:cs="Arial" w:eastAsia="Arial" w:hAnsi="Arial"/>
          <w:color w:val="1A1A1A"/>
          <w:sz w:val="20"/>
          <w:szCs w:val="20"/>
        </w:rPr>
        <w:t xml:space="preserve">•  All templates must be downloaded from the ComplyVerse GRC platform document library to ensure the latest approved version is used.</w:t>
      </w:r>
    </w:p>
    <w:p>
      <w:pPr>
        <w:spacing w:after="60" w:before="60"/>
        <w:ind w:left="720"/>
      </w:pPr>
      <w:r>
        <w:rPr>
          <w:rFonts w:ascii="Arial" w:cs="Arial" w:eastAsia="Arial" w:hAnsi="Arial"/>
          <w:color w:val="1A1A1A"/>
          <w:sz w:val="20"/>
          <w:szCs w:val="20"/>
        </w:rPr>
        <w:t xml:space="preserve">•  Template version is shown in the footer of each document. Do not use templates with version numbers lower than the current library version.</w:t>
      </w:r>
    </w:p>
    <w:p>
      <w:pPr>
        <w:spacing w:after="60" w:before="60"/>
        <w:ind w:left="720"/>
      </w:pPr>
      <w:r>
        <w:rPr>
          <w:rFonts w:ascii="Arial" w:cs="Arial" w:eastAsia="Arial" w:hAnsi="Arial"/>
          <w:color w:val="1A1A1A"/>
          <w:sz w:val="20"/>
          <w:szCs w:val="20"/>
        </w:rPr>
        <w:t xml:space="preserve">•  Completed documents must be uploaded to the relevant project folder in the ComplyVerse platform within 5 working days of approval.</w:t>
      </w:r>
    </w:p>
    <w:p>
      <w:pPr>
        <w:spacing w:after="60" w:before="60"/>
        <w:ind w:left="720"/>
      </w:pPr>
      <w:r>
        <w:rPr>
          <w:rFonts w:ascii="Arial" w:cs="Arial" w:eastAsia="Arial" w:hAnsi="Arial"/>
          <w:color w:val="1A1A1A"/>
          <w:sz w:val="20"/>
          <w:szCs w:val="20"/>
        </w:rPr>
        <w:t xml:space="preserve">•  Templates may not be structurally modified without approval from the IT Governance function. Content additions within defined sections are permitted.</w:t>
      </w:r>
    </w:p>
    <w:p>
      <w:pPr>
        <w:spacing w:after="60" w:before="60"/>
        <w:ind w:left="720"/>
      </w:pPr>
      <w:r>
        <w:rPr>
          <w:rFonts w:ascii="Arial" w:cs="Arial" w:eastAsia="Arial" w:hAnsi="Arial"/>
          <w:color w:val="1A1A1A"/>
          <w:sz w:val="20"/>
          <w:szCs w:val="20"/>
        </w:rPr>
        <w:t xml:space="preserve">•  All completed documents must carry the author name, reviewer name, approver name, and approval date before upload.</w:t>
      </w:r>
    </w:p>
    <w:p>
      <w:pPr>
        <w:spacing w:after="200" w:before="0"/>
      </w:pPr>
      <w:r>
        <w:t xml:space="preserve"/>
      </w:r>
    </w:p>
    <w:p>
      <w:pPr>
        <w:spacing w:after="140" w:before="280"/>
      </w:pPr>
      <w:r>
        <w:rPr>
          <w:rFonts w:ascii="Arial" w:cs="Arial" w:eastAsia="Arial" w:hAnsi="Arial"/>
          <w:b/>
          <w:bCs/>
          <w:color w:val="4A0E8F"/>
          <w:sz w:val="24"/>
          <w:szCs w:val="24"/>
        </w:rPr>
        <w:t xml:space="preserve">8. APPROVAL</w:t>
      </w:r>
    </w:p>
    <w:p>
      <w:pPr>
        <w:pBdr>
          <w:bottom w:val="single" w:color="4A0E8F" w:sz="8" w:space="1"/>
        </w:pBdr>
        <w:spacing w:after="120" w:before="0"/>
      </w:pPr>
      <w:r>
        <w:t xml:space="preserve"/>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AD6FC" w:sz="6"/>
              <w:left w:val="single" w:color="EAD6FC" w:sz="6"/>
              <w:bottom w:val="single" w:color="EAD6FC" w:sz="6"/>
              <w:right w:val="single" w:color="EAD6FC" w:sz="6"/>
            </w:tcBorders>
            <w:tcMar>
              <w:top w:type="dxa" w:w="160"/>
              <w:left w:type="dxa" w:w="180"/>
              <w:bottom w:type="dxa" w:w="200"/>
              <w:right w:type="dxa" w:w="180"/>
            </w:tcMar>
          </w:tcPr>
          <w:p>
            <w:r>
              <w:rPr>
                <w:rFonts w:ascii="Arial" w:cs="Arial" w:eastAsia="Arial" w:hAnsi="Arial"/>
                <w:b/>
                <w:bCs/>
                <w:color w:val="4A0E8F"/>
                <w:sz w:val="17"/>
                <w:szCs w:val="17"/>
              </w:rPr>
              <w:t xml:space="preserve">Head of IT Governance</w:t>
            </w:r>
          </w:p>
          <w:p>
            <w:pPr>
              <w:pBdr>
                <w:bottom w:val="single" w:color="999999" w:sz="4" w:space="1"/>
              </w:pBdr>
              <w:spacing w:after="80" w:before="460"/>
            </w:pPr>
            <w:r>
              <w:rPr>
                <w:rFonts w:ascii="Arial" w:cs="Arial" w:eastAsia="Arial" w:hAnsi="Arial"/>
                <w:color w:val="555555"/>
                <w:sz w:val="17"/>
                <w:szCs w:val="17"/>
              </w:rPr>
              <w:t xml:space="preserve">Mr. Waqas Siddiqui</w:t>
            </w:r>
          </w:p>
          <w:p>
            <w:r>
              <w:rPr>
                <w:rFonts w:ascii="Arial" w:cs="Arial" w:eastAsia="Arial" w:hAnsi="Arial"/>
                <w:color w:val="1A1A1A"/>
                <w:sz w:val="17"/>
                <w:szCs w:val="17"/>
              </w:rPr>
              <w:t xml:space="preserve">Date Signed: March 28, 2025</w:t>
            </w:r>
          </w:p>
        </w:tc>
        <w:tc>
          <w:tcPr>
            <w:tcW w:type="dxa" w:w="4860"/>
            <w:tcBorders>
              <w:top w:val="single" w:color="EAD6FC" w:sz="6"/>
              <w:left w:val="single" w:color="EAD6FC" w:sz="6"/>
              <w:bottom w:val="single" w:color="EAD6FC" w:sz="6"/>
              <w:right w:val="single" w:color="EAD6FC" w:sz="6"/>
            </w:tcBorders>
            <w:tcMar>
              <w:top w:type="dxa" w:w="160"/>
              <w:left w:type="dxa" w:w="180"/>
              <w:bottom w:type="dxa" w:w="200"/>
              <w:right w:type="dxa" w:w="180"/>
            </w:tcMar>
          </w:tcPr>
          <w:p>
            <w:r>
              <w:rPr>
                <w:rFonts w:ascii="Arial" w:cs="Arial" w:eastAsia="Arial" w:hAnsi="Arial"/>
                <w:b/>
                <w:bCs/>
                <w:color w:val="4A0E8F"/>
                <w:sz w:val="17"/>
                <w:szCs w:val="17"/>
              </w:rPr>
              <w:t xml:space="preserve">Chief Information Security Officer</w:t>
            </w:r>
          </w:p>
          <w:p>
            <w:pPr>
              <w:pBdr>
                <w:bottom w:val="single" w:color="999999" w:sz="4" w:space="1"/>
              </w:pBdr>
              <w:spacing w:after="80" w:before="460"/>
            </w:pPr>
            <w:r>
              <w:rPr>
                <w:rFonts w:ascii="Arial" w:cs="Arial" w:eastAsia="Arial" w:hAnsi="Arial"/>
                <w:color w:val="555555"/>
                <w:sz w:val="17"/>
                <w:szCs w:val="17"/>
              </w:rPr>
              <w:t xml:space="preserve">Mr. Imran Ali</w:t>
            </w:r>
          </w:p>
          <w:p>
            <w:r>
              <w:rPr>
                <w:rFonts w:ascii="Arial" w:cs="Arial" w:eastAsia="Arial" w:hAnsi="Arial"/>
                <w:color w:val="1A1A1A"/>
                <w:sz w:val="17"/>
                <w:szCs w:val="17"/>
              </w:rPr>
              <w:t xml:space="preserve">Date Signed: March 28, 2025</w:t>
            </w:r>
          </w:p>
        </w:tc>
      </w:tr>
    </w:tbl>
    <w:p>
      <w:pPr>
        <w:spacing w:after="280" w:before="0"/>
      </w:pPr>
      <w:r>
        <w:t xml:space="preserve"/>
      </w:r>
    </w:p>
    <w:p>
      <w:pPr>
        <w:pBdr>
          <w:left w:val="single" w:color="4A0E8F" w:sz="16" w:space="1"/>
        </w:pBdr>
        <w:shd w:fill="F4F6FA" w:val="clear"/>
        <w:spacing w:after="0" w:before="0"/>
        <w:ind w:left="240"/>
      </w:pPr>
      <w:r>
        <w:rPr>
          <w:rFonts w:ascii="Arial" w:cs="Arial" w:eastAsia="Arial" w:hAnsi="Arial"/>
          <w:color w:val="555555"/>
          <w:sz w:val="16"/>
          <w:szCs w:val="16"/>
        </w:rPr>
        <w:t xml:space="preserve">Official Use Only  |  Document Ref: CV-SDLC-TMPL-002  |  ComplyVerse GRC Platform  |  SBP ETGRMF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2026-04-01T07:49:20.344Z</dcterms:created>
  <dcterms:modified xsi:type="dcterms:W3CDTF">2026-04-01T07:49:20.344Z</dcterms:modified>
</cp:coreProperties>
</file>

<file path=docProps/custom.xml><?xml version="1.0" encoding="utf-8"?>
<Properties xmlns="http://schemas.openxmlformats.org/officeDocument/2006/custom-properties" xmlns:vt="http://schemas.openxmlformats.org/officeDocument/2006/docPropsVTypes"/>
</file>