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D1A6B" w:val="clear"/>
        <w:spacing w:after="0" w:before="0"/>
      </w:pPr>
      <w:r>
        <w:rPr>
          <w:rFonts w:ascii="Arial" w:cs="Arial" w:eastAsia="Arial" w:hAnsi="Arial"/>
          <w:b/>
          <w:bCs/>
          <w:color w:val="FFFFFF"/>
          <w:sz w:val="32"/>
          <w:szCs w:val="32"/>
        </w:rPr>
        <w:t xml:space="preserve">COMPLYVERSE  |  PASSWORD POLICY CONFIGURATION</w:t>
      </w:r>
    </w:p>
    <w:p>
      <w:pPr>
        <w:shd w:fill="3D1A6B" w:val="clear"/>
        <w:spacing w:after="280" w:before="60"/>
      </w:pPr>
      <w:r>
        <w:rPr>
          <w:rFonts w:ascii="Arial" w:cs="Arial" w:eastAsia="Arial" w:hAnsi="Arial"/>
          <w:color w:val="C8A8F8"/>
          <w:sz w:val="22"/>
          <w:szCs w:val="22"/>
        </w:rPr>
        <w:t xml:space="preserve">Technical Password Policy Settings &amp; Configuration Evidence — ISO/IEC 27001:2022 A.5.17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3D1A6B"/>
                <w:sz w:val="17"/>
                <w:szCs w:val="17"/>
              </w:rPr>
              <w:t xml:space="preserve">Document Ref</w:t>
            </w:r>
          </w:p>
          <w:p>
            <w:r>
              <w:rPr>
                <w:rFonts w:ascii="Arial" w:cs="Arial" w:eastAsia="Arial" w:hAnsi="Arial"/>
                <w:color w:val="1A1A1A"/>
                <w:sz w:val="19"/>
                <w:szCs w:val="19"/>
              </w:rPr>
              <w:t xml:space="preserve">CV-AUTH-PWD-002</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3D1A6B"/>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3D1A6B"/>
                <w:sz w:val="17"/>
                <w:szCs w:val="17"/>
              </w:rPr>
              <w:t xml:space="preserve">ISO Control</w:t>
            </w:r>
          </w:p>
          <w:p>
            <w:r>
              <w:rPr>
                <w:rFonts w:ascii="Arial" w:cs="Arial" w:eastAsia="Arial" w:hAnsi="Arial"/>
                <w:color w:val="1A1A1A"/>
                <w:sz w:val="19"/>
                <w:szCs w:val="19"/>
              </w:rPr>
              <w:t xml:space="preserve">A.5.17 — Authentication Information</w:t>
            </w:r>
          </w:p>
        </w:tc>
        <w:tc>
          <w:tcPr>
            <w:tcW w:type="dxa" w:w="2340"/>
            <w:tcBorders>
              <w:top w:val="single" w:color="EAD6FC" w:sz="4"/>
              <w:left w:val="single" w:color="EAD6FC" w:sz="4"/>
              <w:bottom w:val="single" w:color="EAD6FC" w:sz="4"/>
              <w:right w:val="single" w:color="EAD6FC" w:sz="4"/>
            </w:tcBorders>
            <w:shd w:fill="EAD6FC" w:val="clear"/>
            <w:tcMar>
              <w:top w:type="dxa" w:w="100"/>
              <w:left w:type="dxa" w:w="160"/>
              <w:bottom w:type="dxa" w:w="100"/>
              <w:right w:type="dxa" w:w="160"/>
            </w:tcMar>
          </w:tcPr>
          <w:p>
            <w:r>
              <w:rPr>
                <w:rFonts w:ascii="Arial" w:cs="Arial" w:eastAsia="Arial" w:hAnsi="Arial"/>
                <w:b/>
                <w:bCs/>
                <w:color w:val="3D1A6B"/>
                <w:sz w:val="17"/>
                <w:szCs w:val="17"/>
              </w:rPr>
              <w:t xml:space="preserve">Review Cycle</w:t>
            </w:r>
          </w:p>
          <w:p>
            <w:r>
              <w:rPr>
                <w:rFonts w:ascii="Arial" w:cs="Arial" w:eastAsia="Arial" w:hAnsi="Arial"/>
                <w:color w:val="1A1A1A"/>
                <w:sz w:val="19"/>
                <w:szCs w:val="19"/>
              </w:rPr>
              <w:t xml:space="preserve">Annual / On System Change</w:t>
            </w:r>
          </w:p>
        </w:tc>
      </w:tr>
    </w:tbl>
    <w:p>
      <w:pPr>
        <w:spacing w:after="200" w:before="0"/>
      </w:pPr>
      <w:r>
        <w:t xml:space="preserve"/>
      </w:r>
    </w:p>
    <w:p>
      <w:pPr>
        <w:spacing w:after="140" w:before="280"/>
      </w:pPr>
      <w:r>
        <w:rPr>
          <w:rFonts w:ascii="Arial" w:cs="Arial" w:eastAsia="Arial" w:hAnsi="Arial"/>
          <w:b/>
          <w:bCs/>
          <w:color w:val="3D1A6B"/>
          <w:sz w:val="24"/>
          <w:szCs w:val="24"/>
        </w:rPr>
        <w:t xml:space="preserve">1. PURPOSE &amp; SCOPE</w:t>
      </w:r>
    </w:p>
    <w:p>
      <w:pPr>
        <w:pBdr>
          <w:bottom w:val="single" w:color="3D1A6B" w:sz="8" w:space="1"/>
        </w:pBdr>
        <w:spacing w:after="120" w:before="0"/>
      </w:pPr>
      <w:r>
        <w:t xml:space="preserve"/>
      </w:r>
    </w:p>
    <w:p>
      <w:pPr>
        <w:spacing w:after="100" w:before="80"/>
      </w:pPr>
      <w:r>
        <w:rPr>
          <w:rFonts w:ascii="Arial" w:cs="Arial" w:eastAsia="Arial" w:hAnsi="Arial"/>
          <w:color w:val="1A1A1A"/>
          <w:sz w:val="20"/>
          <w:szCs w:val="20"/>
        </w:rPr>
        <w:t xml:space="preserve">This document records the formally approved password policy requirements and their technical configuration across all identity systems and platforms used by DemoTech Enterprises (Pvt.) Ltd. It serves as the authoritative reference for password policy enforcement and as ISO/IEC 27001:2022 Annex A.5.17 configuration evidence.</w:t>
      </w:r>
    </w:p>
    <w:p>
      <w:pPr>
        <w:spacing w:after="80" w:before="0"/>
      </w:pPr>
      <w:r>
        <w:t xml:space="preserve"/>
      </w:r>
    </w:p>
    <w:p>
      <w:pPr>
        <w:spacing w:after="100" w:before="80"/>
      </w:pPr>
      <w:r>
        <w:rPr>
          <w:rFonts w:ascii="Arial" w:cs="Arial" w:eastAsia="Arial" w:hAnsi="Arial"/>
          <w:color w:val="1A1A1A"/>
          <w:sz w:val="20"/>
          <w:szCs w:val="20"/>
        </w:rPr>
        <w:t xml:space="preserve">The policy applies to all user accounts, privileged accounts, service accounts, and application accounts across all systems. Where a system cannot technically enforce a policy requirement, a compensating control is documented.</w:t>
      </w:r>
    </w:p>
    <w:p>
      <w:pPr>
        <w:spacing w:after="200" w:before="0"/>
      </w:pPr>
      <w:r>
        <w:t xml:space="preserve"/>
      </w:r>
    </w:p>
    <w:p>
      <w:pPr>
        <w:spacing w:after="140" w:before="280"/>
      </w:pPr>
      <w:r>
        <w:rPr>
          <w:rFonts w:ascii="Arial" w:cs="Arial" w:eastAsia="Arial" w:hAnsi="Arial"/>
          <w:b/>
          <w:bCs/>
          <w:color w:val="3D1A6B"/>
          <w:sz w:val="24"/>
          <w:szCs w:val="24"/>
        </w:rPr>
        <w:t xml:space="preserve">2. PASSWORD COMPLEXITY &amp; LENGTH REQUIREMENTS</w:t>
      </w:r>
    </w:p>
    <w:p>
      <w:pPr>
        <w:pBdr>
          <w:bottom w:val="single" w:color="3D1A6B"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600"/>
        <w:gridCol w:w="2600"/>
      </w:tblGrid>
      <w:tr>
        <w:tc>
          <w:tcPr>
            <w:tcW w:type="dxa" w:w="30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Policy Requirement</w:t>
            </w:r>
          </w:p>
        </w:tc>
        <w:tc>
          <w:tcPr>
            <w:tcW w:type="dxa" w:w="216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Setting / Value</w:t>
            </w:r>
          </w:p>
        </w:tc>
        <w:tc>
          <w:tcPr>
            <w:tcW w:type="dxa" w:w="16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Status</w:t>
            </w:r>
          </w:p>
        </w:tc>
        <w:tc>
          <w:tcPr>
            <w:tcW w:type="dxa" w:w="26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Configuration Reference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600"/>
        <w:gridCol w:w="2600"/>
      </w:tblGrid>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Minimum Password Length (Standard Users)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14 characters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Password Policy &gt; Min Length = 14</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Minimum Password Length (Privileged Accounts)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20 characters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CyberArk PAM — Account Policy &gt; Min Length = 20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Maximum Password Length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128 characters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No hardcoded max; field accepts 128</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Uppercase Letters Required</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Yes — minimum 1</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Complexity Enabled = True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Lowercase Letters Required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Yes — minimum 1</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Complexity Enabled = True</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Numeric Digits Required</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Yes — minimum 1</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Complexity Enabled = True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Special Characters Required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Yes — minimum 1  (!@#$%^&amp;*...)</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Complexity Enabled = True</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Passphrase Option (4+ words)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Permitted as alternative to complex password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Min 16 chars, no complexity if ≥16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Common / Breached Password Block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Banned password list active</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Custom Banned Passwords + Microsoft Global List</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Dictionary Word Block</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Passwords matching dictionary words blocked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Smart Lockout + Banned Password Policy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Username in Password Block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Password cannot contain account username</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Complexity Enabled = True</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Company Name / System Name Block</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'DemoTech', 'DTEE', 'T24', 'SAP' etc. banned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Custom Banned Password List</w:t>
            </w:r>
          </w:p>
        </w:tc>
      </w:tr>
    </w:tbl>
    <w:p>
      <w:pPr>
        <w:spacing w:after="200" w:before="0"/>
      </w:pPr>
      <w:r>
        <w:t xml:space="preserve"/>
      </w:r>
    </w:p>
    <w:p>
      <w:pPr>
        <w:spacing w:after="140" w:before="280"/>
      </w:pPr>
      <w:r>
        <w:rPr>
          <w:rFonts w:ascii="Arial" w:cs="Arial" w:eastAsia="Arial" w:hAnsi="Arial"/>
          <w:b/>
          <w:bCs/>
          <w:color w:val="3D1A6B"/>
          <w:sz w:val="24"/>
          <w:szCs w:val="24"/>
        </w:rPr>
        <w:t xml:space="preserve">3. PASSWORD HISTORY &amp; REUSE POLICY</w:t>
      </w:r>
    </w:p>
    <w:p>
      <w:pPr>
        <w:pBdr>
          <w:bottom w:val="single" w:color="3D1A6B"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600"/>
        <w:gridCol w:w="2600"/>
      </w:tblGrid>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Password History (Standard Users)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Last 12 passwords cannot be reused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Enforce Password History = 12</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Password History (Privileged Accounts)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Last 24 passwords cannot be reused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CyberArk — History Count = 24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Minimum Password Age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 day (prevents rapid cycling to reuse old passwords)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Minimum Password Age = 1 day</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Maximum Password Age (Standard Users)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365 days (with MFA — NIST SP 800-63B aligned)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Maximum Password Age = 365 days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Maximum Password Age (Privileged Accounts)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90 days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CyberArk — Expiration Period = 90 days</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Maximum Password Age (Internet-Facing Systems)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90 days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Conditional Policy for External Apps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Service Account Password Rotation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90 days (production) / 180 days (non-production)</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HashiCorp Vault — Dynamic Secrets / Lease Duration</w:t>
            </w:r>
          </w:p>
        </w:tc>
      </w:tr>
    </w:tbl>
    <w:p>
      <w:pPr>
        <w:spacing w:after="200" w:before="0"/>
      </w:pPr>
      <w:r>
        <w:t xml:space="preserve"/>
      </w:r>
    </w:p>
    <w:p>
      <w:pPr>
        <w:spacing w:after="140" w:before="280"/>
      </w:pPr>
      <w:r>
        <w:rPr>
          <w:rFonts w:ascii="Arial" w:cs="Arial" w:eastAsia="Arial" w:hAnsi="Arial"/>
          <w:b/>
          <w:bCs/>
          <w:color w:val="3D1A6B"/>
          <w:sz w:val="24"/>
          <w:szCs w:val="24"/>
        </w:rPr>
        <w:t xml:space="preserve">4. ACCOUNT LOCKOUT POLICY</w:t>
      </w:r>
    </w:p>
    <w:p>
      <w:pPr>
        <w:pBdr>
          <w:bottom w:val="single" w:color="3D1A6B" w:sz="8" w:space="1"/>
        </w:pBdr>
        <w:spacing w:after="12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600"/>
        <w:gridCol w:w="2600"/>
      </w:tblGrid>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Failed Login Attempt Threshold (Standard)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5 consecutive failures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Smart Lockout Threshold = 5</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Failed Login Attempt Threshold (Privileged)</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3 consecutive failures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CyberArk — Lockout After = 3 attempts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Lockout Duration (Standard)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30 minutes (auto-unlock)</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Smart Lockout Duration = 30 min</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Lockout Duration (Privileged Accounts)</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Manual unlock by Security Officer required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CyberArk — Manual Unlock Only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Lockout Observation Window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10 minutes (failures must occur within window)</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Observation Window = 10 min</w:t>
            </w:r>
          </w:p>
        </w:tc>
      </w:tr>
      <w:tr>
        <w:tc>
          <w:tcPr>
            <w:tcW w:type="dxa" w:w="3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SIEM Alert on Lockout</w:t>
            </w:r>
          </w:p>
        </w:tc>
        <w:tc>
          <w:tcPr>
            <w:tcW w:type="dxa" w:w="2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Alert raised to Security Officer within 5 minutes</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Microsoft Sentinel — Alert Rule AUTH-LOCK-001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Geo-Impossible Login Block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Login from two geographically incompatible locations blocked</w:t>
            </w:r>
          </w:p>
        </w:tc>
        <w:tc>
          <w:tcPr>
            <w:tcW w:type="dxa" w:w="160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Enforced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7"/>
                <w:szCs w:val="17"/>
              </w:rPr>
              <w:t xml:space="preserve">Entra ID — Conditional Access — Risk-Based Policy</w:t>
            </w:r>
          </w:p>
        </w:tc>
      </w:tr>
    </w:tbl>
    <w:p>
      <w:pPr>
        <w:spacing w:after="200" w:before="0"/>
      </w:pPr>
      <w:r>
        <w:t xml:space="preserve"/>
      </w:r>
    </w:p>
    <w:p>
      <w:pPr>
        <w:spacing w:after="140" w:before="280"/>
      </w:pPr>
      <w:r>
        <w:rPr>
          <w:rFonts w:ascii="Arial" w:cs="Arial" w:eastAsia="Arial" w:hAnsi="Arial"/>
          <w:b/>
          <w:bCs/>
          <w:color w:val="3D1A6B"/>
          <w:sz w:val="24"/>
          <w:szCs w:val="24"/>
        </w:rPr>
        <w:t xml:space="preserve">5. SYSTEM-BY-SYSTEM CONFIGURATION EVIDENCE</w:t>
      </w:r>
    </w:p>
    <w:p>
      <w:pPr>
        <w:pBdr>
          <w:bottom w:val="single" w:color="3D1A6B" w:sz="8" w:space="1"/>
        </w:pBdr>
        <w:spacing w:after="120" w:before="0"/>
      </w:pPr>
      <w:r>
        <w:t xml:space="preserve"/>
      </w:r>
    </w:p>
    <w:p>
      <w:pPr>
        <w:spacing w:after="100" w:before="80"/>
      </w:pPr>
      <w:r>
        <w:rPr>
          <w:rFonts w:ascii="Arial" w:cs="Arial" w:eastAsia="Arial" w:hAnsi="Arial"/>
          <w:color w:val="1A1A1A"/>
          <w:sz w:val="20"/>
          <w:szCs w:val="20"/>
        </w:rPr>
        <w:t xml:space="preserve">The following table records the password policy configuration status for each major system in scope: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200"/>
        <w:gridCol w:w="1200"/>
        <w:gridCol w:w="1760"/>
      </w:tblGrid>
      <w:tr>
        <w:tc>
          <w:tcPr>
            <w:tcW w:type="dxa" w:w="22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System</w:t>
            </w:r>
          </w:p>
        </w:tc>
        <w:tc>
          <w:tcPr>
            <w:tcW w:type="dxa" w:w="16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Min Length</w:t>
            </w:r>
          </w:p>
        </w:tc>
        <w:tc>
          <w:tcPr>
            <w:tcW w:type="dxa" w:w="14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Complexity</w:t>
            </w:r>
          </w:p>
        </w:tc>
        <w:tc>
          <w:tcPr>
            <w:tcW w:type="dxa" w:w="12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Max Age</w:t>
            </w:r>
          </w:p>
        </w:tc>
        <w:tc>
          <w:tcPr>
            <w:tcW w:type="dxa" w:w="12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History</w:t>
            </w:r>
          </w:p>
        </w:tc>
        <w:tc>
          <w:tcPr>
            <w:tcW w:type="dxa" w:w="176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Enforcement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Entra ID (All Users)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14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365 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Entra ID (Privileged)</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20 chars</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CyberArk PAM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20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24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HashiCorp Vault</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Dynamic</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N/A (dynamic)</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 180 days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N/A</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Core Banking — T24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12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SAP ERP</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12 chars</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10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Azure DevOps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Via Entra 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Via Entra 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Via Entra ID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Via Entra ID</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Database Accounts</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20 chars</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Network Devices (Cisco)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14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5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Wi-Fi / RADIUS</w:t>
            </w:r>
          </w:p>
        </w:tc>
        <w:tc>
          <w:tcPr>
            <w:tcW w:type="dxa" w:w="16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14 chars</w:t>
            </w:r>
          </w:p>
        </w:tc>
        <w:tc>
          <w:tcPr>
            <w:tcW w:type="dxa" w:w="1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180 days</w:t>
            </w:r>
          </w:p>
        </w:tc>
        <w:tc>
          <w:tcPr>
            <w:tcW w:type="dxa" w:w="1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12 prev</w:t>
            </w:r>
          </w:p>
        </w:tc>
        <w:tc>
          <w:tcPr>
            <w:tcW w:type="dxa" w:w="1760"/>
            <w:tcBorders>
              <w:top w:val="single" w:color="CCCCCC" w:sz="4"/>
              <w:left w:val="single" w:color="CCCCCC" w:sz="4"/>
              <w:bottom w:val="single" w:color="CCCCCC" w:sz="4"/>
              <w:right w:val="single" w:color="CCCCCC" w:sz="4"/>
            </w:tcBorders>
            <w:shd w:fill="D4EDDA" w:val="clear"/>
            <w:tcMar>
              <w:top w:type="dxa" w:w="80"/>
              <w:left w:type="dxa" w:w="130"/>
              <w:bottom w:type="dxa" w:w="80"/>
              <w:right w:type="dxa" w:w="130"/>
            </w:tcMar>
            <w:vAlign w:val="center"/>
          </w:tcPr>
          <w:p>
            <w:pPr>
              <w:jc w:val="center"/>
            </w:pPr>
            <w:r>
              <w:rPr>
                <w:rFonts w:ascii="Arial" w:cs="Arial" w:eastAsia="Arial" w:hAnsi="Arial"/>
                <w:b/>
                <w:bCs/>
                <w:color w:val="1A8C3A"/>
                <w:sz w:val="17"/>
                <w:szCs w:val="17"/>
              </w:rPr>
              <w:t xml:space="preserve">Technical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1A1A"/>
                <w:sz w:val="18"/>
                <w:szCs w:val="18"/>
              </w:rPr>
              <w:t xml:space="preserve">Legacy System (AS/400)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8 chars*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8C3A"/>
                <w:sz w:val="18"/>
                <w:szCs w:val="18"/>
              </w:rPr>
              <w:t xml:space="preserve">✓ Required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90 days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8 prev</w:t>
            </w:r>
          </w:p>
        </w:tc>
        <w:tc>
          <w:tcPr>
            <w:tcW w:type="dxa" w:w="1760"/>
            <w:tcBorders>
              <w:top w:val="single" w:color="CCCCCC" w:sz="4"/>
              <w:left w:val="single" w:color="CCCCCC" w:sz="4"/>
              <w:bottom w:val="single" w:color="CCCCCC" w:sz="4"/>
              <w:right w:val="single" w:color="CCCCCC" w:sz="4"/>
            </w:tcBorders>
            <w:shd w:fill="FFF3CD" w:val="clear"/>
            <w:tcMar>
              <w:top w:type="dxa" w:w="80"/>
              <w:left w:type="dxa" w:w="130"/>
              <w:bottom w:type="dxa" w:w="80"/>
              <w:right w:type="dxa" w:w="130"/>
            </w:tcMar>
            <w:vAlign w:val="center"/>
          </w:tcPr>
          <w:p>
            <w:pPr>
              <w:jc w:val="center"/>
            </w:pPr>
            <w:r>
              <w:rPr>
                <w:rFonts w:ascii="Arial" w:cs="Arial" w:eastAsia="Arial" w:hAnsi="Arial"/>
                <w:b/>
                <w:bCs/>
                <w:color w:val="D4860A"/>
                <w:sz w:val="17"/>
                <w:szCs w:val="17"/>
              </w:rPr>
              <w:t xml:space="preserve">Partial*</w:t>
            </w:r>
          </w:p>
        </w:tc>
      </w:tr>
    </w:tbl>
    <w:p>
      <w:pPr>
        <w:spacing w:after="80" w:before="0"/>
      </w:pPr>
      <w:r>
        <w:t xml:space="preserve"/>
      </w:r>
    </w:p>
    <w:p>
      <w:pPr>
        <w:spacing w:after="100" w:before="80"/>
      </w:pPr>
      <w:r>
        <w:rPr>
          <w:rFonts w:ascii="Arial" w:cs="Arial" w:eastAsia="Arial" w:hAnsi="Arial"/>
          <w:color w:val="1A1A1A"/>
          <w:sz w:val="20"/>
          <w:szCs w:val="20"/>
        </w:rPr>
        <w:t xml:space="preserve">* AS/400 legacy system maximum password length is 8 characters (platform limitation). Compensating control: AS/400 access is restricted to a single service account managed in HashiCorp Vault with 90-day rotation. No human interactive login permitted.</w:t>
      </w:r>
    </w:p>
    <w:p>
      <w:pPr>
        <w:spacing w:after="200" w:before="0"/>
      </w:pPr>
      <w:r>
        <w:t xml:space="preserve"/>
      </w:r>
    </w:p>
    <w:p>
      <w:pPr>
        <w:spacing w:after="140" w:before="280"/>
      </w:pPr>
      <w:r>
        <w:rPr>
          <w:rFonts w:ascii="Arial" w:cs="Arial" w:eastAsia="Arial" w:hAnsi="Arial"/>
          <w:b/>
          <w:bCs/>
          <w:color w:val="3D1A6B"/>
          <w:sz w:val="24"/>
          <w:szCs w:val="24"/>
        </w:rPr>
        <w:t xml:space="preserve">6. SPECIAL ACCOUNT TYPES — POLICY EXCEPTIONS</w:t>
      </w:r>
    </w:p>
    <w:p>
      <w:pPr>
        <w:pBdr>
          <w:bottom w:val="single" w:color="3D1A6B"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Account Type</w:t>
            </w:r>
          </w:p>
        </w:tc>
        <w:tc>
          <w:tcPr>
            <w:tcW w:type="dxa" w:w="316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Exception</w:t>
            </w:r>
          </w:p>
        </w:tc>
        <w:tc>
          <w:tcPr>
            <w:tcW w:type="dxa" w:w="38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Compensating Control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Break-Glass / Emergency Accounts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Password known to max 2 custodians; does not expire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Sealed in dual-custodian physical safe; SIEM alert on any use; reviewed quarterly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Service-to-Service API Accounts</w:t>
            </w:r>
          </w:p>
        </w:tc>
        <w:tc>
          <w:tcPr>
            <w:tcW w:type="dxa" w:w="3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No interactive login; password complexity not applicable</w:t>
            </w:r>
          </w:p>
        </w:tc>
        <w:tc>
          <w:tcPr>
            <w:tcW w:type="dxa" w:w="3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OAuth 2.0 / Managed Identity used; no static password; rotated via HashiCorp Vault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Shared Functional Mailboxes</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No individual password; accessed via delegated Entra ID permissions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MFA of delegating user required; access reviewed quarterly</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bCs/>
                <w:color w:val="3D1A6B"/>
                <w:sz w:val="18"/>
                <w:szCs w:val="18"/>
              </w:rPr>
              <w:t xml:space="preserve">Vendor / Remote Access Accounts</w:t>
            </w:r>
          </w:p>
        </w:tc>
        <w:tc>
          <w:tcPr>
            <w:tcW w:type="dxa" w:w="31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D4860A"/>
                <w:sz w:val="18"/>
                <w:szCs w:val="18"/>
              </w:rPr>
              <w:t xml:space="preserve">Scoped access; time-limited; MFA mandatory</w:t>
            </w:r>
          </w:p>
        </w:tc>
        <w:tc>
          <w:tcPr>
            <w:tcW w:type="dxa" w:w="3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Auto-expiry enforced; access log reviewed by Security Officer monthly</w:t>
            </w:r>
          </w:p>
        </w:tc>
      </w:tr>
    </w:tbl>
    <w:p>
      <w:pPr>
        <w:spacing w:after="200" w:before="0"/>
      </w:pPr>
      <w:r>
        <w:t xml:space="preserve"/>
      </w:r>
    </w:p>
    <w:p>
      <w:pPr>
        <w:spacing w:after="140" w:before="280"/>
      </w:pPr>
      <w:r>
        <w:rPr>
          <w:rFonts w:ascii="Arial" w:cs="Arial" w:eastAsia="Arial" w:hAnsi="Arial"/>
          <w:b/>
          <w:bCs/>
          <w:color w:val="3D1A6B"/>
          <w:sz w:val="24"/>
          <w:szCs w:val="24"/>
        </w:rPr>
        <w:t xml:space="preserve">7. CONFIGURATION REVIEW HISTORY</w:t>
      </w:r>
    </w:p>
    <w:p>
      <w:pPr>
        <w:pBdr>
          <w:bottom w:val="single" w:color="3D1A6B"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Review Date</w:t>
            </w:r>
          </w:p>
        </w:tc>
        <w:tc>
          <w:tcPr>
            <w:tcW w:type="dxa" w:w="22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Reviewed By</w:t>
            </w:r>
          </w:p>
        </w:tc>
        <w:tc>
          <w:tcPr>
            <w:tcW w:type="dxa" w:w="236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Changes Made</w:t>
            </w:r>
          </w:p>
        </w:tc>
        <w:tc>
          <w:tcPr>
            <w:tcW w:type="dxa" w:w="2800"/>
            <w:tcBorders>
              <w:top w:val="single" w:color="3D1A6B" w:sz="6"/>
              <w:left w:val="single" w:color="3D1A6B" w:sz="6"/>
              <w:bottom w:val="single" w:color="3D1A6B" w:sz="6"/>
              <w:right w:val="single" w:color="3D1A6B" w:sz="6"/>
            </w:tcBorders>
            <w:shd w:fill="3D1A6B" w:val="clear"/>
            <w:tcMar>
              <w:top w:type="dxa" w:w="100"/>
              <w:left w:type="dxa" w:w="130"/>
              <w:bottom w:type="dxa" w:w="100"/>
              <w:right w:type="dxa" w:w="130"/>
            </w:tcMar>
            <w:vAlign w:val="center"/>
          </w:tcPr>
          <w:p>
            <w:pPr>
              <w:jc w:val="left"/>
            </w:pPr>
            <w:r>
              <w:rPr>
                <w:rFonts w:ascii="Arial" w:cs="Arial" w:eastAsia="Arial" w:hAnsi="Arial"/>
                <w:b/>
                <w:bCs/>
                <w:color w:val="FFFFFF"/>
                <w:sz w:val="19"/>
                <w:szCs w:val="19"/>
              </w:rPr>
              <w:t xml:space="preserve">Approval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March 28, 2025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Imran Ali (CISO)</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Min length increased 12→14; custom banned list expanded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W. Siddiqui (IT Gov)</w:t>
            </w:r>
          </w:p>
        </w:tc>
      </w:tr>
      <w:tr>
        <w:tc>
          <w:tcPr>
            <w:tcW w:type="dxa" w:w="20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March 30, 2024</w:t>
            </w:r>
          </w:p>
        </w:tc>
        <w:tc>
          <w:tcPr>
            <w:tcW w:type="dxa" w:w="22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Imran Ali (CISO)</w:t>
            </w:r>
          </w:p>
        </w:tc>
        <w:tc>
          <w:tcPr>
            <w:tcW w:type="dxa" w:w="236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Max age for MFA-enabled users changed 90→365 days (NIST alignment)</w:t>
            </w:r>
          </w:p>
        </w:tc>
        <w:tc>
          <w:tcPr>
            <w:tcW w:type="dxa" w:w="2800"/>
            <w:tcBorders>
              <w:top w:val="single" w:color="CCCCCC" w:sz="4"/>
              <w:left w:val="single" w:color="CCCCCC" w:sz="4"/>
              <w:bottom w:val="single" w:color="CCCCCC" w:sz="4"/>
              <w:right w:val="single" w:color="CCCCCC" w:sz="4"/>
            </w:tcBorders>
            <w:shd w:fill="F4F6FA"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W. Siddiqui (IT Gov)</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April 15, 2023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Tariq Hussain (IT Ops)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CyberArk PAM policy synchronised with Entra ID settings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A1A1A"/>
                <w:sz w:val="18"/>
                <w:szCs w:val="18"/>
              </w:rPr>
              <w:t xml:space="preserve">Mr. Imran Ali (CISO)</w:t>
            </w:r>
          </w:p>
        </w:tc>
      </w:tr>
    </w:tbl>
    <w:p>
      <w:pPr>
        <w:spacing w:after="200" w:before="0"/>
      </w:pPr>
      <w:r>
        <w:t xml:space="preserve"/>
      </w:r>
    </w:p>
    <w:p>
      <w:pPr>
        <w:spacing w:after="140" w:before="280"/>
      </w:pPr>
      <w:r>
        <w:rPr>
          <w:rFonts w:ascii="Arial" w:cs="Arial" w:eastAsia="Arial" w:hAnsi="Arial"/>
          <w:b/>
          <w:bCs/>
          <w:color w:val="3D1A6B"/>
          <w:sz w:val="24"/>
          <w:szCs w:val="24"/>
        </w:rPr>
        <w:t xml:space="preserve">8. APPROVAL</w:t>
      </w:r>
    </w:p>
    <w:p>
      <w:pPr>
        <w:pBdr>
          <w:bottom w:val="single" w:color="3D1A6B" w:sz="8" w:space="1"/>
        </w:pBdr>
        <w:spacing w:after="120" w:before="0"/>
      </w:pPr>
      <w:r>
        <w:t xml:space="preserve"/>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D6FC" w:sz="6"/>
              <w:left w:val="single" w:color="EAD6FC" w:sz="6"/>
              <w:bottom w:val="single" w:color="EAD6FC" w:sz="6"/>
              <w:right w:val="single" w:color="EAD6FC" w:sz="6"/>
            </w:tcBorders>
            <w:tcMar>
              <w:top w:type="dxa" w:w="160"/>
              <w:left w:type="dxa" w:w="180"/>
              <w:bottom w:type="dxa" w:w="200"/>
              <w:right w:type="dxa" w:w="180"/>
            </w:tcMar>
          </w:tcPr>
          <w:p>
            <w:r>
              <w:rPr>
                <w:rFonts w:ascii="Arial" w:cs="Arial" w:eastAsia="Arial" w:hAnsi="Arial"/>
                <w:b/>
                <w:bCs/>
                <w:color w:val="3D1A6B"/>
                <w:sz w:val="17"/>
                <w:szCs w:val="17"/>
              </w:rPr>
              <w:t xml:space="preserve">Chief Information Security Officer</w:t>
            </w:r>
          </w:p>
          <w:p>
            <w:pPr>
              <w:pBdr>
                <w:bottom w:val="single" w:color="999999" w:sz="4" w:space="1"/>
              </w:pBdr>
              <w:spacing w:after="80" w:before="460"/>
            </w:pPr>
            <w:r>
              <w:rPr>
                <w:rFonts w:ascii="Arial" w:cs="Arial" w:eastAsia="Arial" w:hAnsi="Arial"/>
                <w:color w:val="555555"/>
                <w:sz w:val="17"/>
                <w:szCs w:val="17"/>
              </w:rPr>
              <w:t xml:space="preserve">Mr. Imran Ali</w:t>
            </w:r>
          </w:p>
          <w:p>
            <w:r>
              <w:rPr>
                <w:rFonts w:ascii="Arial" w:cs="Arial" w:eastAsia="Arial" w:hAnsi="Arial"/>
                <w:color w:val="1A1A1A"/>
                <w:sz w:val="17"/>
                <w:szCs w:val="17"/>
              </w:rPr>
              <w:t xml:space="preserve">Date Signed: March 28, 2025</w:t>
            </w:r>
          </w:p>
        </w:tc>
        <w:tc>
          <w:tcPr>
            <w:tcW w:type="dxa" w:w="3120"/>
            <w:tcBorders>
              <w:top w:val="single" w:color="EAD6FC" w:sz="6"/>
              <w:left w:val="single" w:color="EAD6FC" w:sz="6"/>
              <w:bottom w:val="single" w:color="EAD6FC" w:sz="6"/>
              <w:right w:val="single" w:color="EAD6FC" w:sz="6"/>
            </w:tcBorders>
            <w:tcMar>
              <w:top w:type="dxa" w:w="160"/>
              <w:left w:type="dxa" w:w="180"/>
              <w:bottom w:type="dxa" w:w="200"/>
              <w:right w:type="dxa" w:w="180"/>
            </w:tcMar>
          </w:tcPr>
          <w:p>
            <w:r>
              <w:rPr>
                <w:rFonts w:ascii="Arial" w:cs="Arial" w:eastAsia="Arial" w:hAnsi="Arial"/>
                <w:b/>
                <w:bCs/>
                <w:color w:val="3D1A6B"/>
                <w:sz w:val="17"/>
                <w:szCs w:val="17"/>
              </w:rPr>
              <w:t xml:space="preserve">Head of IT Operations</w:t>
            </w:r>
          </w:p>
          <w:p>
            <w:pPr>
              <w:pBdr>
                <w:bottom w:val="single" w:color="999999" w:sz="4" w:space="1"/>
              </w:pBdr>
              <w:spacing w:after="80" w:before="460"/>
            </w:pPr>
            <w:r>
              <w:rPr>
                <w:rFonts w:ascii="Arial" w:cs="Arial" w:eastAsia="Arial" w:hAnsi="Arial"/>
                <w:color w:val="555555"/>
                <w:sz w:val="17"/>
                <w:szCs w:val="17"/>
              </w:rPr>
              <w:t xml:space="preserve">Mr. Tariq Hussain</w:t>
            </w:r>
          </w:p>
          <w:p>
            <w:r>
              <w:rPr>
                <w:rFonts w:ascii="Arial" w:cs="Arial" w:eastAsia="Arial" w:hAnsi="Arial"/>
                <w:color w:val="1A1A1A"/>
                <w:sz w:val="17"/>
                <w:szCs w:val="17"/>
              </w:rPr>
              <w:t xml:space="preserve">Date Signed: March 28, 2025</w:t>
            </w:r>
          </w:p>
        </w:tc>
        <w:tc>
          <w:tcPr>
            <w:tcW w:type="dxa" w:w="3120"/>
            <w:tcBorders>
              <w:top w:val="single" w:color="EAD6FC" w:sz="6"/>
              <w:left w:val="single" w:color="EAD6FC" w:sz="6"/>
              <w:bottom w:val="single" w:color="EAD6FC" w:sz="6"/>
              <w:right w:val="single" w:color="EAD6FC" w:sz="6"/>
            </w:tcBorders>
            <w:tcMar>
              <w:top w:type="dxa" w:w="160"/>
              <w:left w:type="dxa" w:w="180"/>
              <w:bottom w:type="dxa" w:w="200"/>
              <w:right w:type="dxa" w:w="180"/>
            </w:tcMar>
          </w:tcPr>
          <w:p>
            <w:r>
              <w:rPr>
                <w:rFonts w:ascii="Arial" w:cs="Arial" w:eastAsia="Arial" w:hAnsi="Arial"/>
                <w:b/>
                <w:bCs/>
                <w:color w:val="3D1A6B"/>
                <w:sz w:val="17"/>
                <w:szCs w:val="17"/>
              </w:rPr>
              <w:t xml:space="preserve">IT Governance Lead</w:t>
            </w:r>
          </w:p>
          <w:p>
            <w:pPr>
              <w:pBdr>
                <w:bottom w:val="single" w:color="999999" w:sz="4" w:space="1"/>
              </w:pBdr>
              <w:spacing w:after="80" w:before="460"/>
            </w:pPr>
            <w:r>
              <w:rPr>
                <w:rFonts w:ascii="Arial" w:cs="Arial" w:eastAsia="Arial" w:hAnsi="Arial"/>
                <w:color w:val="555555"/>
                <w:sz w:val="17"/>
                <w:szCs w:val="17"/>
              </w:rPr>
              <w:t xml:space="preserve">Mr. Waqas Siddiqui</w:t>
            </w:r>
          </w:p>
          <w:p>
            <w:r>
              <w:rPr>
                <w:rFonts w:ascii="Arial" w:cs="Arial" w:eastAsia="Arial" w:hAnsi="Arial"/>
                <w:color w:val="1A1A1A"/>
                <w:sz w:val="17"/>
                <w:szCs w:val="17"/>
              </w:rPr>
              <w:t xml:space="preserve">Date Signed: March 28, 2025</w:t>
            </w:r>
          </w:p>
        </w:tc>
      </w:tr>
    </w:tbl>
    <w:p>
      <w:pPr>
        <w:spacing w:after="280" w:before="0"/>
      </w:pPr>
      <w:r>
        <w:t xml:space="preserve"/>
      </w:r>
    </w:p>
    <w:p>
      <w:pPr>
        <w:pBdr>
          <w:left w:val="single" w:color="3D1A6B" w:sz="16" w:space="1"/>
        </w:pBdr>
        <w:shd w:fill="F4F6FA" w:val="clear"/>
        <w:spacing w:after="0" w:before="0"/>
        <w:ind w:left="240"/>
      </w:pPr>
      <w:r>
        <w:rPr>
          <w:rFonts w:ascii="Arial" w:cs="Arial" w:eastAsia="Arial" w:hAnsi="Arial"/>
          <w:color w:val="555555"/>
          <w:sz w:val="16"/>
          <w:szCs w:val="16"/>
        </w:rPr>
        <w:t xml:space="preserve">Official Use Only  |  Document Ref: CV-AUTH-PWD-002  |  ComplyVerse GRC Platform  |  ISO/IEC 27001:2022 A.5.17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2026-04-02T03:54:01.133Z</dcterms:created>
  <dcterms:modified xsi:type="dcterms:W3CDTF">2026-04-02T03:54:01.133Z</dcterms:modified>
</cp:coreProperties>
</file>

<file path=docProps/custom.xml><?xml version="1.0" encoding="utf-8"?>
<Properties xmlns="http://schemas.openxmlformats.org/officeDocument/2006/custom-properties" xmlns:vt="http://schemas.openxmlformats.org/officeDocument/2006/docPropsVTypes"/>
</file>