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1800"/>
      </w:pPr>
      <w:r>
        <w:t xml:space="preserve"/>
      </w:r>
    </w:p>
    <w:p>
      <w:pPr>
        <w:jc w:val="center"/>
      </w:pPr>
      <w:r>
        <w:rPr>
          <w:rFonts w:ascii="Arial" w:cs="Arial" w:eastAsia="Arial" w:hAnsi="Arial"/>
          <w:b/>
          <w:bCs/>
          <w:color w:val="1F4E79"/>
          <w:sz w:val="44"/>
          <w:szCs w:val="44"/>
        </w:rPr>
        <w:t xml:space="preserve">[BANK NAME]</w:t>
      </w:r>
    </w:p>
    <w:p>
      <w:pPr>
        <w:spacing w:before="60" w:after="60"/>
      </w:pPr>
      <w:r>
        <w:t xml:space="preserve"/>
      </w:r>
    </w:p>
    <w:p>
      <w:pPr>
        <w:jc w:val="center"/>
      </w:pPr>
      <w:r>
        <w:rPr>
          <w:rFonts w:ascii="Arial" w:cs="Arial" w:eastAsia="Arial" w:hAnsi="Arial"/>
          <w:b/>
          <w:bCs/>
          <w:color w:val="2E75B6"/>
          <w:sz w:val="34"/>
          <w:szCs w:val="34"/>
        </w:rPr>
        <w:t xml:space="preserve">Business Continuity and Disaster Recovery Framework</w:t>
      </w:r>
    </w:p>
    <w:p>
      <w:pPr>
        <w:spacing w:before="240" w:after="240"/>
      </w:pPr>
      <w:r>
        <w:t xml:space="preserve"/>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tblGrid>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404040"/>
                <w:sz w:val="20"/>
                <w:szCs w:val="20"/>
              </w:rPr>
              <w:t xml:space="preserve">Document No:</w:t>
            </w:r>
          </w:p>
        </w:tc>
        <w:tc>
          <w:tcPr>
            <w:tcW w:type="dxa" w:w="4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val="false"/>
                <w:bCs w:val="false"/>
                <w:color w:val="404040"/>
                <w:sz w:val="20"/>
                <w:szCs w:val="20"/>
              </w:rPr>
              <w:t xml:space="preserve">IT-BCP-001</w:t>
            </w:r>
          </w:p>
        </w:tc>
      </w:tr>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404040"/>
                <w:sz w:val="20"/>
                <w:szCs w:val="20"/>
              </w:rPr>
              <w:t xml:space="preserve">Version:</w:t>
            </w:r>
          </w:p>
        </w:tc>
        <w:tc>
          <w:tcPr>
            <w:tcW w:type="dxa" w:w="4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val="false"/>
                <w:bCs w:val="false"/>
                <w:color w:val="404040"/>
                <w:sz w:val="20"/>
                <w:szCs w:val="20"/>
              </w:rPr>
              <w:t xml:space="preserve">1.0</w:t>
            </w:r>
          </w:p>
        </w:tc>
      </w:tr>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404040"/>
                <w:sz w:val="20"/>
                <w:szCs w:val="20"/>
              </w:rPr>
              <w:t xml:space="preserve">Effective Date:</w:t>
            </w:r>
          </w:p>
        </w:tc>
        <w:tc>
          <w:tcPr>
            <w:tcW w:type="dxa" w:w="4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val="false"/>
                <w:bCs w:val="false"/>
                <w:color w:val="404040"/>
                <w:sz w:val="20"/>
                <w:szCs w:val="20"/>
              </w:rPr>
              <w:t xml:space="preserve">[DD-MMM-YYYY]</w:t>
            </w:r>
          </w:p>
        </w:tc>
      </w:tr>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404040"/>
                <w:sz w:val="20"/>
                <w:szCs w:val="20"/>
              </w:rPr>
              <w:t xml:space="preserve">Owner:</w:t>
            </w:r>
          </w:p>
        </w:tc>
        <w:tc>
          <w:tcPr>
            <w:tcW w:type="dxa" w:w="4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val="false"/>
                <w:bCs w:val="false"/>
                <w:color w:val="404040"/>
                <w:sz w:val="20"/>
                <w:szCs w:val="20"/>
              </w:rPr>
              <w:t xml:space="preserve">CIO / Business Continuity Manager</w:t>
            </w:r>
          </w:p>
        </w:tc>
      </w:tr>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404040"/>
                <w:sz w:val="20"/>
                <w:szCs w:val="20"/>
              </w:rPr>
              <w:t xml:space="preserve">Approved by:</w:t>
            </w:r>
          </w:p>
        </w:tc>
        <w:tc>
          <w:tcPr>
            <w:tcW w:type="dxa" w:w="4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val="false"/>
                <w:bCs w:val="false"/>
                <w:color w:val="404040"/>
                <w:sz w:val="20"/>
                <w:szCs w:val="20"/>
              </w:rPr>
              <w:t xml:space="preserve">Board of Directors</w:t>
            </w:r>
          </w:p>
        </w:tc>
      </w:tr>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404040"/>
                <w:sz w:val="20"/>
                <w:szCs w:val="20"/>
              </w:rPr>
              <w:t xml:space="preserve">Regulatory Ref:</w:t>
            </w:r>
          </w:p>
        </w:tc>
        <w:tc>
          <w:tcPr>
            <w:tcW w:type="dxa" w:w="4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val="false"/>
                <w:bCs w:val="false"/>
                <w:color w:val="404040"/>
                <w:sz w:val="20"/>
                <w:szCs w:val="20"/>
              </w:rPr>
              <w:t xml:space="preserve">SBP BPRD Circular No. 05/2017 — Chapter 5</w:t>
            </w:r>
          </w:p>
        </w:tc>
      </w:tr>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404040"/>
                <w:sz w:val="20"/>
                <w:szCs w:val="20"/>
              </w:rPr>
              <w:t xml:space="preserve">Classification:</w:t>
            </w:r>
          </w:p>
        </w:tc>
        <w:tc>
          <w:tcPr>
            <w:tcW w:type="dxa" w:w="4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FF0000"/>
                <w:sz w:val="20"/>
                <w:szCs w:val="20"/>
              </w:rPr>
              <w:t xml:space="preserve">CONFIDENTIAL</w:t>
            </w:r>
          </w:p>
        </w:tc>
      </w:tr>
    </w:tbl>
    <w:p>
      <w:r>
        <w:br w:type="page"/>
      </w:r>
    </w:p>
    <w:p>
      <w:pPr>
        <w:pStyle w:val="Heading1"/>
      </w:pPr>
      <w:r>
        <w:rPr>
          <w:rFonts w:ascii="Arial" w:cs="Arial" w:eastAsia="Arial" w:hAnsi="Arial"/>
          <w:b/>
          <w:bCs/>
          <w:color w:val="1F4E79"/>
          <w:sz w:val="28"/>
          <w:szCs w:val="28"/>
        </w:rPr>
        <w:t xml:space="preserve">1. Purpose and Scope</w:t>
      </w:r>
    </w:p>
    <w:p>
      <w:pPr>
        <w:spacing w:before="80" w:after="80"/>
        <w:jc w:val="both"/>
      </w:pPr>
      <w:r>
        <w:rPr>
          <w:rFonts w:ascii="Arial" w:cs="Arial" w:eastAsia="Arial" w:hAnsi="Arial"/>
          <w:color w:val="404040"/>
          <w:sz w:val="20"/>
          <w:szCs w:val="20"/>
        </w:rPr>
        <w:t xml:space="preserve">This Business Continuity and Disaster Recovery (BCP/DR) Framework defines [Bank Name]'s comprehensive approach to ensuring continuity of critical banking operations during and after a disruptive event. The Framework implements SBP ETGRMF Chapter 5, SBP BSD Circular No. 13/2004 (superseded by ETGRMF), and aligns with ISO 22301:2019.</w:t>
      </w:r>
    </w:p>
    <w:p>
      <w:pPr>
        <w:spacing w:before="120" w:after="120"/>
      </w:pPr>
      <w:r>
        <w:t xml:space="preserve"/>
      </w:r>
    </w:p>
    <w:p>
      <w:pPr>
        <w:pStyle w:val="Heading1"/>
      </w:pPr>
      <w:r>
        <w:rPr>
          <w:rFonts w:ascii="Arial" w:cs="Arial" w:eastAsia="Arial" w:hAnsi="Arial"/>
          <w:b/>
          <w:bCs/>
          <w:color w:val="1F4E79"/>
          <w:sz w:val="28"/>
          <w:szCs w:val="28"/>
        </w:rPr>
        <w:t xml:space="preserve">2. BCP Goals and Principles</w:t>
      </w:r>
    </w:p>
    <w:p>
      <w:pPr>
        <w:pStyle w:val="ListParagraph"/>
        <w:numPr>
          <w:ilvl w:val="0"/>
          <w:numId w:val="2"/>
        </w:numPr>
        <w:spacing w:before="60" w:after="60"/>
      </w:pPr>
      <w:r>
        <w:rPr>
          <w:rFonts w:ascii="Arial" w:cs="Arial" w:eastAsia="Arial" w:hAnsi="Arial"/>
          <w:color w:val="404040"/>
          <w:sz w:val="20"/>
          <w:szCs w:val="20"/>
        </w:rPr>
        <w:t xml:space="preserve">Minimize financial losses and reputational damage from business disruptions.</w:t>
      </w:r>
    </w:p>
    <w:p>
      <w:pPr>
        <w:pStyle w:val="ListParagraph"/>
        <w:numPr>
          <w:ilvl w:val="0"/>
          <w:numId w:val="2"/>
        </w:numPr>
        <w:spacing w:before="60" w:after="60"/>
      </w:pPr>
      <w:r>
        <w:rPr>
          <w:rFonts w:ascii="Arial" w:cs="Arial" w:eastAsia="Arial" w:hAnsi="Arial"/>
          <w:color w:val="404040"/>
          <w:sz w:val="20"/>
          <w:szCs w:val="20"/>
        </w:rPr>
        <w:t xml:space="preserve">Serve customers with minimal disruption through pre-defined recovery strategies.</w:t>
      </w:r>
    </w:p>
    <w:p>
      <w:pPr>
        <w:pStyle w:val="ListParagraph"/>
        <w:numPr>
          <w:ilvl w:val="0"/>
          <w:numId w:val="2"/>
        </w:numPr>
        <w:spacing w:before="60" w:after="60"/>
      </w:pPr>
      <w:r>
        <w:rPr>
          <w:rFonts w:ascii="Arial" w:cs="Arial" w:eastAsia="Arial" w:hAnsi="Arial"/>
          <w:color w:val="404040"/>
          <w:sz w:val="20"/>
          <w:szCs w:val="20"/>
        </w:rPr>
        <w:t xml:space="preserve">Achieve recovery within defined Recovery Time Objectives (RTOs) and Recovery Point Objectives (RPOs).</w:t>
      </w:r>
    </w:p>
    <w:p>
      <w:pPr>
        <w:pStyle w:val="ListParagraph"/>
        <w:numPr>
          <w:ilvl w:val="0"/>
          <w:numId w:val="2"/>
        </w:numPr>
        <w:spacing w:before="60" w:after="60"/>
      </w:pPr>
      <w:r>
        <w:rPr>
          <w:rFonts w:ascii="Arial" w:cs="Arial" w:eastAsia="Arial" w:hAnsi="Arial"/>
          <w:color w:val="404040"/>
          <w:sz w:val="20"/>
          <w:szCs w:val="20"/>
        </w:rPr>
        <w:t xml:space="preserve">Maintain regulatory compliance and customer service commitments during incidents.</w:t>
      </w:r>
    </w:p>
    <w:p>
      <w:pPr>
        <w:pStyle w:val="ListParagraph"/>
        <w:numPr>
          <w:ilvl w:val="0"/>
          <w:numId w:val="2"/>
        </w:numPr>
        <w:spacing w:before="60" w:after="60"/>
      </w:pPr>
      <w:r>
        <w:rPr>
          <w:rFonts w:ascii="Arial" w:cs="Arial" w:eastAsia="Arial" w:hAnsi="Arial"/>
          <w:color w:val="404040"/>
          <w:sz w:val="20"/>
          <w:szCs w:val="20"/>
        </w:rPr>
        <w:t xml:space="preserve">Ensure all staff understand their roles during a business continuity event.</w:t>
      </w:r>
    </w:p>
    <w:p>
      <w:pPr>
        <w:spacing w:before="120" w:after="120"/>
      </w:pPr>
      <w:r>
        <w:t xml:space="preserve"/>
      </w:r>
    </w:p>
    <w:p>
      <w:pPr>
        <w:pStyle w:val="Heading1"/>
      </w:pPr>
      <w:r>
        <w:rPr>
          <w:rFonts w:ascii="Arial" w:cs="Arial" w:eastAsia="Arial" w:hAnsi="Arial"/>
          <w:b/>
          <w:bCs/>
          <w:color w:val="1F4E79"/>
          <w:sz w:val="28"/>
          <w:szCs w:val="28"/>
        </w:rPr>
        <w:t xml:space="preserve">3. Business Impact Analysis (BIA)</w:t>
      </w:r>
    </w:p>
    <w:p>
      <w:pPr>
        <w:pStyle w:val="Heading2"/>
      </w:pPr>
      <w:r>
        <w:rPr>
          <w:rFonts w:ascii="Arial" w:cs="Arial" w:eastAsia="Arial" w:hAnsi="Arial"/>
          <w:b/>
          <w:bCs/>
          <w:color w:val="2E75B6"/>
          <w:sz w:val="23"/>
          <w:szCs w:val="23"/>
        </w:rPr>
        <w:t xml:space="preserve">3.1 BIA Process</w:t>
      </w:r>
    </w:p>
    <w:p>
      <w:pPr>
        <w:pStyle w:val="ListParagraph"/>
        <w:numPr>
          <w:ilvl w:val="0"/>
          <w:numId w:val="3"/>
        </w:numPr>
        <w:spacing w:before="60" w:after="60"/>
      </w:pPr>
      <w:r>
        <w:rPr>
          <w:rFonts w:ascii="Arial" w:cs="Arial" w:eastAsia="Arial" w:hAnsi="Arial"/>
          <w:color w:val="404040"/>
          <w:sz w:val="20"/>
          <w:szCs w:val="20"/>
        </w:rPr>
        <w:t xml:space="preserve">Assess and prioritize all critical business functions and their interdependencies.</w:t>
      </w:r>
    </w:p>
    <w:p>
      <w:pPr>
        <w:pStyle w:val="ListParagraph"/>
        <w:numPr>
          <w:ilvl w:val="0"/>
          <w:numId w:val="3"/>
        </w:numPr>
        <w:spacing w:before="60" w:after="60"/>
      </w:pPr>
      <w:r>
        <w:rPr>
          <w:rFonts w:ascii="Arial" w:cs="Arial" w:eastAsia="Arial" w:hAnsi="Arial"/>
          <w:color w:val="404040"/>
          <w:sz w:val="20"/>
          <w:szCs w:val="20"/>
        </w:rPr>
        <w:t xml:space="preserve">Identify the potential impact of disruptions on each function.</w:t>
      </w:r>
    </w:p>
    <w:p>
      <w:pPr>
        <w:pStyle w:val="ListParagraph"/>
        <w:numPr>
          <w:ilvl w:val="0"/>
          <w:numId w:val="3"/>
        </w:numPr>
        <w:spacing w:before="60" w:after="60"/>
      </w:pPr>
      <w:r>
        <w:rPr>
          <w:rFonts w:ascii="Arial" w:cs="Arial" w:eastAsia="Arial" w:hAnsi="Arial"/>
          <w:color w:val="404040"/>
          <w:sz w:val="20"/>
          <w:szCs w:val="20"/>
        </w:rPr>
        <w:t xml:space="preserve">Identify legal and regulatory requirements for each function.</w:t>
      </w:r>
    </w:p>
    <w:p>
      <w:pPr>
        <w:pStyle w:val="ListParagraph"/>
        <w:numPr>
          <w:ilvl w:val="0"/>
          <w:numId w:val="3"/>
        </w:numPr>
        <w:spacing w:before="60" w:after="60"/>
      </w:pPr>
      <w:r>
        <w:rPr>
          <w:rFonts w:ascii="Arial" w:cs="Arial" w:eastAsia="Arial" w:hAnsi="Arial"/>
          <w:color w:val="404040"/>
          <w:sz w:val="20"/>
          <w:szCs w:val="20"/>
        </w:rPr>
        <w:t xml:space="preserve">Estimate maximum allowable downtime (MAD) for each function.</w:t>
      </w:r>
    </w:p>
    <w:p>
      <w:pPr>
        <w:pStyle w:val="ListParagraph"/>
        <w:numPr>
          <w:ilvl w:val="0"/>
          <w:numId w:val="3"/>
        </w:numPr>
        <w:spacing w:before="60" w:after="60"/>
      </w:pPr>
      <w:r>
        <w:rPr>
          <w:rFonts w:ascii="Arial" w:cs="Arial" w:eastAsia="Arial" w:hAnsi="Arial"/>
          <w:color w:val="404040"/>
          <w:sz w:val="20"/>
          <w:szCs w:val="20"/>
        </w:rPr>
        <w:t xml:space="preserve">Determine RTOs, RPOs, and Minimum Business Continuity Objectives (MBCOs).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500"/>
        <w:gridCol w:w="1500"/>
        <w:gridCol w:w="20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Critical Function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Max Allowable Downtime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RTO</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RPO</w:t>
            </w:r>
          </w:p>
        </w:tc>
        <w:tc>
          <w:tcPr>
            <w:tcW w:type="dxa" w:w="2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Recovery Priority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SWIFT / Payment Processing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2 hours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1 hour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0 (zero)</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P1 — Immediate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Core Banking System (CBS)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4 hours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2 hours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15 minutes</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P1 — Immediate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Internet Banking / Mobile Banking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4 hours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2 hours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1 hour</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P2 — High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ATM Network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6 hours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4 hours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1 hour</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P2 — High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Branch Operations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8 hours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4 hours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2 hours</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P2 — High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Treasury / FX Trading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4 hours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2 hours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30 minutes</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P1 — Immediate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Email and Communication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24 hours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8 hours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4 hours</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P3 — Medium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HR / Support Systems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48 hours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24 hours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24 hours</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P4 — Low</w:t>
            </w:r>
          </w:p>
        </w:tc>
      </w:tr>
    </w:tbl>
    <w:p>
      <w:pPr>
        <w:spacing w:before="120" w:after="120"/>
      </w:pPr>
      <w:r>
        <w:t xml:space="preserve"/>
      </w:r>
    </w:p>
    <w:p>
      <w:pPr>
        <w:pStyle w:val="Heading1"/>
      </w:pPr>
      <w:r>
        <w:rPr>
          <w:rFonts w:ascii="Arial" w:cs="Arial" w:eastAsia="Arial" w:hAnsi="Arial"/>
          <w:b/>
          <w:bCs/>
          <w:color w:val="1F4E79"/>
          <w:sz w:val="28"/>
          <w:szCs w:val="28"/>
        </w:rPr>
        <w:t xml:space="preserve">4. Risk Management and BCP Scenarios</w:t>
      </w:r>
    </w:p>
    <w:p>
      <w:pPr>
        <w:spacing w:before="80" w:after="80"/>
        <w:jc w:val="both"/>
      </w:pPr>
      <w:r>
        <w:rPr>
          <w:rFonts w:ascii="Arial" w:cs="Arial" w:eastAsia="Arial" w:hAnsi="Arial"/>
          <w:color w:val="404040"/>
          <w:sz w:val="20"/>
          <w:szCs w:val="20"/>
        </w:rPr>
        <w:t xml:space="preserve">The BCP shall be designed to address the following threat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Primary Response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Data Center Failure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Complete loss of primary data center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Full failover to DR site within RTO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Cyber Attack / Ransomware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IT systems compromised; data encrypted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Incident response; DR activation; clean restore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Power Failure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Extended grid power failure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UPS/Generator; DR activation if &gt;RTO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Natural Disaster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Flood, earthquake, fire at primary site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Evacuation; DR site activation; remote working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Pandemic / Health Crisis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Large-scale staff unavailability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Remote working policy; reduced staffing BCP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Key Vendor Failure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Critical technology vendor fails or exits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Vendor BCP review; alternative vendor activation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Telecommunication Failure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Internet/network connectivity loss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Dual ISP; satellite backup; DR network paths</w:t>
            </w:r>
          </w:p>
        </w:tc>
      </w:tr>
    </w:tbl>
    <w:p>
      <w:pPr>
        <w:spacing w:before="120" w:after="120"/>
      </w:pPr>
      <w:r>
        <w:t xml:space="preserve"/>
      </w:r>
    </w:p>
    <w:p>
      <w:pPr>
        <w:pStyle w:val="Heading1"/>
      </w:pPr>
      <w:r>
        <w:rPr>
          <w:rFonts w:ascii="Arial" w:cs="Arial" w:eastAsia="Arial" w:hAnsi="Arial"/>
          <w:b/>
          <w:bCs/>
          <w:color w:val="1F4E79"/>
          <w:sz w:val="28"/>
          <w:szCs w:val="28"/>
        </w:rPr>
        <w:t xml:space="preserve">5. Disaster Recovery Plan</w:t>
      </w:r>
    </w:p>
    <w:p>
      <w:pPr>
        <w:pStyle w:val="Heading2"/>
      </w:pPr>
      <w:r>
        <w:rPr>
          <w:rFonts w:ascii="Arial" w:cs="Arial" w:eastAsia="Arial" w:hAnsi="Arial"/>
          <w:b/>
          <w:bCs/>
          <w:color w:val="2E75B6"/>
          <w:sz w:val="23"/>
          <w:szCs w:val="23"/>
        </w:rPr>
        <w:t xml:space="preserve">5.1 DR Infrastructure</w:t>
      </w:r>
    </w:p>
    <w:p>
      <w:pPr>
        <w:pStyle w:val="ListParagraph"/>
        <w:numPr>
          <w:ilvl w:val="0"/>
          <w:numId w:val="2"/>
        </w:numPr>
        <w:spacing w:before="60" w:after="60"/>
      </w:pPr>
      <w:r>
        <w:rPr>
          <w:rFonts w:ascii="Arial" w:cs="Arial" w:eastAsia="Arial" w:hAnsi="Arial"/>
          <w:color w:val="404040"/>
          <w:sz w:val="20"/>
          <w:szCs w:val="20"/>
        </w:rPr>
        <w:t xml:space="preserve">Primary Data Center: [Location] — Tier III/IV — all critical systems hosted.</w:t>
      </w:r>
    </w:p>
    <w:p>
      <w:pPr>
        <w:pStyle w:val="ListParagraph"/>
        <w:numPr>
          <w:ilvl w:val="0"/>
          <w:numId w:val="2"/>
        </w:numPr>
        <w:spacing w:before="60" w:after="60"/>
      </w:pPr>
      <w:r>
        <w:rPr>
          <w:rFonts w:ascii="Arial" w:cs="Arial" w:eastAsia="Arial" w:hAnsi="Arial"/>
          <w:color w:val="404040"/>
          <w:sz w:val="20"/>
          <w:szCs w:val="20"/>
        </w:rPr>
        <w:t xml:space="preserve">DR Site: [Location] — Hot DR site — all P1/P2 systems replicated in near-real-time.</w:t>
      </w:r>
    </w:p>
    <w:p>
      <w:pPr>
        <w:pStyle w:val="ListParagraph"/>
        <w:numPr>
          <w:ilvl w:val="0"/>
          <w:numId w:val="2"/>
        </w:numPr>
        <w:spacing w:before="60" w:after="60"/>
      </w:pPr>
      <w:r>
        <w:rPr>
          <w:rFonts w:ascii="Arial" w:cs="Arial" w:eastAsia="Arial" w:hAnsi="Arial"/>
          <w:color w:val="404040"/>
          <w:sz w:val="20"/>
          <w:szCs w:val="20"/>
        </w:rPr>
        <w:t xml:space="preserve">DR site is geographically separated from primary site (minimum [X] km).</w:t>
      </w:r>
    </w:p>
    <w:p>
      <w:pPr>
        <w:pStyle w:val="ListParagraph"/>
        <w:numPr>
          <w:ilvl w:val="0"/>
          <w:numId w:val="2"/>
        </w:numPr>
        <w:spacing w:before="60" w:after="60"/>
      </w:pPr>
      <w:r>
        <w:rPr>
          <w:rFonts w:ascii="Arial" w:cs="Arial" w:eastAsia="Arial" w:hAnsi="Arial"/>
          <w:color w:val="404040"/>
          <w:sz w:val="20"/>
          <w:szCs w:val="20"/>
        </w:rPr>
        <w:t xml:space="preserve">DR site maintains standby hardware, software, and network components for immediate activation.</w:t>
      </w:r>
    </w:p>
    <w:p>
      <w:pPr>
        <w:pStyle w:val="ListParagraph"/>
        <w:numPr>
          <w:ilvl w:val="0"/>
          <w:numId w:val="2"/>
        </w:numPr>
        <w:spacing w:before="60" w:after="60"/>
      </w:pPr>
      <w:r>
        <w:rPr>
          <w:rFonts w:ascii="Arial" w:cs="Arial" w:eastAsia="Arial" w:hAnsi="Arial"/>
          <w:color w:val="404040"/>
          <w:sz w:val="20"/>
          <w:szCs w:val="20"/>
        </w:rPr>
        <w:t xml:space="preserve">Cross-border network redundancy where applicable (dual ISP, diverse network paths).</w:t>
      </w:r>
    </w:p>
    <w:p>
      <w:pPr>
        <w:spacing w:before="120" w:after="120"/>
      </w:pPr>
      <w:r>
        <w:t xml:space="preserve"/>
      </w:r>
    </w:p>
    <w:p>
      <w:pPr>
        <w:pStyle w:val="Heading2"/>
      </w:pPr>
      <w:r>
        <w:rPr>
          <w:rFonts w:ascii="Arial" w:cs="Arial" w:eastAsia="Arial" w:hAnsi="Arial"/>
          <w:b/>
          <w:bCs/>
          <w:color w:val="2E75B6"/>
          <w:sz w:val="23"/>
          <w:szCs w:val="23"/>
        </w:rPr>
        <w:t xml:space="preserve">5.2 DR Testing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360"/>
        <w:gridCol w:w="2000"/>
        <w:gridCol w:w="250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Type</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Approval Required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Full Failover Test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Annual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Complete switchover of primary site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ITSC; Business Group Heads sign-off</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Component Failover Test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Semi-Annual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Individual system/application cluster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IT Ops Manager; Business Owner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BCP Tabletop Exercise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Semi-Annual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Scenario-based response drill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CISO / CIO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Third-Party DR Participation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Annual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Vendor-led DR tests for outsourced systems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CIO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Full BCP Drill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Annual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People, processes, and technology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CEO; Business Group Heads</w:t>
            </w:r>
          </w:p>
        </w:tc>
      </w:tr>
    </w:tbl>
    <w:p>
      <w:pPr>
        <w:spacing w:before="80" w:after="80"/>
      </w:pPr>
      <w:r>
        <w:t xml:space="preserve"/>
      </w:r>
    </w:p>
    <w:p>
      <w:pPr>
        <w:spacing w:before="80" w:after="80"/>
        <w:jc w:val="both"/>
      </w:pPr>
      <w:r>
        <w:rPr>
          <w:rFonts w:ascii="Arial" w:cs="Arial" w:eastAsia="Arial" w:hAnsi="Arial"/>
          <w:color w:val="404040"/>
          <w:sz w:val="20"/>
          <w:szCs w:val="20"/>
        </w:rPr>
        <w:t xml:space="preserve">All DR test results shall be reviewed by senior management and the Board. Business Group Heads shall sign off DR test results. Test results shall be reviewed by an independent party annually.</w:t>
      </w:r>
    </w:p>
    <w:p>
      <w:pPr>
        <w:spacing w:before="120" w:after="120"/>
      </w:pPr>
      <w:r>
        <w:t xml:space="preserve"/>
      </w:r>
    </w:p>
    <w:p>
      <w:pPr>
        <w:pStyle w:val="Heading1"/>
      </w:pPr>
      <w:r>
        <w:rPr>
          <w:rFonts w:ascii="Arial" w:cs="Arial" w:eastAsia="Arial" w:hAnsi="Arial"/>
          <w:b/>
          <w:bCs/>
          <w:color w:val="1F4E79"/>
          <w:sz w:val="28"/>
          <w:szCs w:val="28"/>
        </w:rPr>
        <w:t xml:space="preserve">6. BCP Activation and Recovery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1800"/>
        <w:gridCol w:w="1800"/>
        <w:gridCol w:w="1860"/>
      </w:tblGrid>
      <w:t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Responsible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SLA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Incident triggers BCP evaluation threshold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BCM Officer / CIO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Incident notification</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Immediate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BCM Officer assesses whether BCP activation is required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BCM Officer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BCP activation decision</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Within 30 min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CEO authorizes BCP/DR activation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CEO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Activation authorization</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Within 1 hour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DR site activated; critical systems failed over per DR plan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IT Ops / BCM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DR site operational</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Within RTO</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Business operations resumed from DR site; staff notified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Business Heads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Operations resumed</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Within RTO</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Communication issued to customers and regulators as required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Comms / Legal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Notifications sent</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Per requirements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Post-incident review and return-to-normal planning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BCM Officer / CIO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Recovery plan</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After incident resolution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Post-event report submitted to Board and regulators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CIO / CEO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Post-event report</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04040"/>
                <w:sz w:val="20"/>
                <w:szCs w:val="20"/>
              </w:rPr>
              <w:t xml:space="preserve">Within 30 days</w:t>
            </w:r>
          </w:p>
        </w:tc>
      </w:tr>
    </w:tbl>
    <w:p>
      <w:pPr>
        <w:spacing w:before="160" w:after="160"/>
      </w:pPr>
      <w:r>
        <w:t xml:space="preserve"/>
      </w:r>
    </w:p>
    <w:p>
      <w:pPr>
        <w:pBdr>
          <w:top w:val="single" w:color="2E75B6" w:sz="8" w:space="4"/>
        </w:pBdr>
        <w:jc w:val="center"/>
      </w:pPr>
      <w:r>
        <w:rPr>
          <w:rFonts w:ascii="Arial" w:cs="Arial" w:eastAsia="Arial" w:hAnsi="Arial"/>
          <w:b/>
          <w:bCs/>
          <w:color w:val="1F4E79"/>
          <w:sz w:val="20"/>
          <w:szCs w:val="20"/>
        </w:rPr>
        <w:t xml:space="preserve">— END OF DOCUMENT —</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404040"/>
        <w:sz w:val="16"/>
        <w:szCs w:val="16"/>
      </w:rPr>
      <w:t xml:space="preserve">IT-BCP-001 | v1.0 | Owner: CIO / BCM Officer</w:t>
    </w:r>
    <w:r>
      <w:t xml:space="preserve">	</w:t>
    </w:r>
    <w:r>
      <w:rPr>
        <w:rFonts w:ascii="Arial" w:cs="Arial" w:eastAsia="Arial" w:hAnsi="Arial"/>
        <w:color w:val="404040"/>
        <w:sz w:val="16"/>
        <w:szCs w:val="16"/>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b/>
        <w:bCs/>
        <w:color w:val="1F4E79"/>
        <w:sz w:val="18"/>
        <w:szCs w:val="18"/>
      </w:rPr>
      <w:t xml:space="preserve">[Bank Name] | CIO / BCM Officer</w:t>
    </w:r>
    <w:r>
      <w:t xml:space="preserve">	</w:t>
    </w:r>
    <w:r>
      <w:rPr>
        <w:rFonts w:ascii="Arial" w:cs="Arial" w:eastAsia="Arial" w:hAnsi="Arial"/>
        <w:b/>
        <w:bCs/>
        <w:color w:val="FF000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F4E79"/>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2E75B6"/>
      <w:sz w:val="23"/>
      <w:szCs w:val="23"/>
    </w:rPr>
  </w:style>
  <w:style w:type="paragraph" w:styleId="Heading3">
    <w:name w:val="Heading 3"/>
    <w:basedOn w:val="Normal"/>
    <w:next w:val="Normal"/>
    <w:qFormat/>
    <w:pPr>
      <w:spacing w:before="160" w:after="80"/>
      <w:outlineLvl w:val="2"/>
    </w:pPr>
    <w:rPr>
      <w:rFonts w:ascii="Arial" w:cs="Arial" w:eastAsia="Arial" w:hAnsi="Arial"/>
      <w:b/>
      <w:bCs/>
      <w:color w:val="40404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2026-03-30T08:34:42.212Z</dcterms:created>
  <dcterms:modified xsi:type="dcterms:W3CDTF">2026-03-30T08:34:42.212Z</dcterms:modified>
</cp:coreProperties>
</file>

<file path=docProps/custom.xml><?xml version="1.0" encoding="utf-8"?>
<Properties xmlns="http://schemas.openxmlformats.org/officeDocument/2006/custom-properties" xmlns:vt="http://schemas.openxmlformats.org/officeDocument/2006/docPropsVTypes"/>
</file>