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4F6E" w:val="clear"/>
        <w:spacing w:after="0" w:before="0"/>
      </w:pPr>
      <w:r>
        <w:rPr>
          <w:rFonts w:ascii="Arial" w:cs="Arial" w:eastAsia="Arial" w:hAnsi="Arial"/>
          <w:b/>
          <w:bCs/>
          <w:color w:val="FFFFFF"/>
          <w:sz w:val="32"/>
          <w:szCs w:val="32"/>
        </w:rPr>
        <w:t xml:space="preserve">COMPLYVERSE  |  RTO / RPO REGISTER</w:t>
      </w:r>
    </w:p>
    <w:p>
      <w:pPr>
        <w:shd w:fill="0D4F6E" w:val="clear"/>
        <w:spacing w:after="280" w:before="60"/>
      </w:pPr>
      <w:r>
        <w:rPr>
          <w:rFonts w:ascii="Arial" w:cs="Arial" w:eastAsia="Arial" w:hAnsi="Arial"/>
          <w:color w:val="A8D8F0"/>
          <w:sz w:val="22"/>
          <w:szCs w:val="22"/>
        </w:rPr>
        <w:t xml:space="preserve">Documented Recovery Time &amp; Recovery Point Objectives — SBP ETGRMF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EBF5" w:sz="4"/>
              <w:left w:val="single" w:color="D0EBF5" w:sz="4"/>
              <w:bottom w:val="single" w:color="D0EBF5" w:sz="4"/>
              <w:right w:val="single" w:color="D0EBF5" w:sz="4"/>
            </w:tcBorders>
            <w:shd w:fill="D0EBF5" w:val="clear"/>
            <w:tcMar>
              <w:top w:type="dxa" w:w="100"/>
              <w:left w:type="dxa" w:w="160"/>
              <w:bottom w:type="dxa" w:w="100"/>
              <w:right w:type="dxa" w:w="160"/>
            </w:tcMar>
          </w:tcPr>
          <w:p>
            <w:r>
              <w:rPr>
                <w:rFonts w:ascii="Arial" w:cs="Arial" w:eastAsia="Arial" w:hAnsi="Arial"/>
                <w:b/>
                <w:bCs/>
                <w:color w:val="0D4F6E"/>
                <w:sz w:val="17"/>
                <w:szCs w:val="17"/>
              </w:rPr>
              <w:t xml:space="preserve">Document Ref</w:t>
            </w:r>
          </w:p>
          <w:p>
            <w:r>
              <w:rPr>
                <w:rFonts w:ascii="Arial" w:cs="Arial" w:eastAsia="Arial" w:hAnsi="Arial"/>
                <w:color w:val="1A1A1A"/>
                <w:sz w:val="19"/>
                <w:szCs w:val="19"/>
              </w:rPr>
              <w:t xml:space="preserve">CV-BCP-RTO-001</w:t>
            </w:r>
          </w:p>
        </w:tc>
        <w:tc>
          <w:tcPr>
            <w:tcW w:type="dxa" w:w="2340"/>
            <w:tcBorders>
              <w:top w:val="single" w:color="D0EBF5" w:sz="4"/>
              <w:left w:val="single" w:color="D0EBF5" w:sz="4"/>
              <w:bottom w:val="single" w:color="D0EBF5" w:sz="4"/>
              <w:right w:val="single" w:color="D0EBF5" w:sz="4"/>
            </w:tcBorders>
            <w:shd w:fill="D0EBF5" w:val="clear"/>
            <w:tcMar>
              <w:top w:type="dxa" w:w="100"/>
              <w:left w:type="dxa" w:w="160"/>
              <w:bottom w:type="dxa" w:w="100"/>
              <w:right w:type="dxa" w:w="160"/>
            </w:tcMar>
          </w:tcPr>
          <w:p>
            <w:r>
              <w:rPr>
                <w:rFonts w:ascii="Arial" w:cs="Arial" w:eastAsia="Arial" w:hAnsi="Arial"/>
                <w:b/>
                <w:bCs/>
                <w:color w:val="0D4F6E"/>
                <w:sz w:val="17"/>
                <w:szCs w:val="17"/>
              </w:rPr>
              <w:t xml:space="preserve">Effective Date</w:t>
            </w:r>
          </w:p>
          <w:p>
            <w:r>
              <w:rPr>
                <w:rFonts w:ascii="Arial" w:cs="Arial" w:eastAsia="Arial" w:hAnsi="Arial"/>
                <w:color w:val="1A1A1A"/>
                <w:sz w:val="19"/>
                <w:szCs w:val="19"/>
              </w:rPr>
              <w:t xml:space="preserve">March 28, 2025</w:t>
            </w:r>
          </w:p>
        </w:tc>
        <w:tc>
          <w:tcPr>
            <w:tcW w:type="dxa" w:w="2340"/>
            <w:tcBorders>
              <w:top w:val="single" w:color="D0EBF5" w:sz="4"/>
              <w:left w:val="single" w:color="D0EBF5" w:sz="4"/>
              <w:bottom w:val="single" w:color="D0EBF5" w:sz="4"/>
              <w:right w:val="single" w:color="D0EBF5" w:sz="4"/>
            </w:tcBorders>
            <w:shd w:fill="D0EBF5" w:val="clear"/>
            <w:tcMar>
              <w:top w:type="dxa" w:w="100"/>
              <w:left w:type="dxa" w:w="160"/>
              <w:bottom w:type="dxa" w:w="100"/>
              <w:right w:type="dxa" w:w="160"/>
            </w:tcMar>
          </w:tcPr>
          <w:p>
            <w:r>
              <w:rPr>
                <w:rFonts w:ascii="Arial" w:cs="Arial" w:eastAsia="Arial" w:hAnsi="Arial"/>
                <w:b/>
                <w:bCs/>
                <w:color w:val="0D4F6E"/>
                <w:sz w:val="17"/>
                <w:szCs w:val="17"/>
              </w:rPr>
              <w:t xml:space="preserve">Review Cycle</w:t>
            </w:r>
          </w:p>
          <w:p>
            <w:r>
              <w:rPr>
                <w:rFonts w:ascii="Arial" w:cs="Arial" w:eastAsia="Arial" w:hAnsi="Arial"/>
                <w:color w:val="1A1A1A"/>
                <w:sz w:val="19"/>
                <w:szCs w:val="19"/>
              </w:rPr>
              <w:t xml:space="preserve">Annual / Post-Incident</w:t>
            </w:r>
          </w:p>
        </w:tc>
        <w:tc>
          <w:tcPr>
            <w:tcW w:type="dxa" w:w="2340"/>
            <w:tcBorders>
              <w:top w:val="single" w:color="D0EBF5" w:sz="4"/>
              <w:left w:val="single" w:color="D0EBF5" w:sz="4"/>
              <w:bottom w:val="single" w:color="D0EBF5" w:sz="4"/>
              <w:right w:val="single" w:color="D0EBF5" w:sz="4"/>
            </w:tcBorders>
            <w:shd w:fill="D0EBF5" w:val="clear"/>
            <w:tcMar>
              <w:top w:type="dxa" w:w="100"/>
              <w:left w:type="dxa" w:w="160"/>
              <w:bottom w:type="dxa" w:w="100"/>
              <w:right w:type="dxa" w:w="160"/>
            </w:tcMar>
          </w:tcPr>
          <w:p>
            <w:r>
              <w:rPr>
                <w:rFonts w:ascii="Arial" w:cs="Arial" w:eastAsia="Arial" w:hAnsi="Arial"/>
                <w:b/>
                <w:bCs/>
                <w:color w:val="0D4F6E"/>
                <w:sz w:val="17"/>
                <w:szCs w:val="17"/>
              </w:rPr>
              <w:t xml:space="preserve">Framework Ref</w:t>
            </w:r>
          </w:p>
          <w:p>
            <w:r>
              <w:rPr>
                <w:rFonts w:ascii="Arial" w:cs="Arial" w:eastAsia="Arial" w:hAnsi="Arial"/>
                <w:color w:val="1A1A1A"/>
                <w:sz w:val="19"/>
                <w:szCs w:val="19"/>
              </w:rPr>
              <w:t xml:space="preserve">SBP ETGRMF — BCP Controls</w:t>
            </w:r>
          </w:p>
        </w:tc>
      </w:tr>
    </w:tbl>
    <w:p>
      <w:pPr>
        <w:spacing w:after="200" w:before="0"/>
      </w:pPr>
      <w:r>
        <w:t xml:space="preserve"/>
      </w:r>
    </w:p>
    <w:p>
      <w:pPr>
        <w:spacing w:after="140" w:before="280"/>
      </w:pPr>
      <w:r>
        <w:rPr>
          <w:rFonts w:ascii="Arial" w:cs="Arial" w:eastAsia="Arial" w:hAnsi="Arial"/>
          <w:b/>
          <w:bCs/>
          <w:color w:val="0D4F6E"/>
          <w:sz w:val="24"/>
          <w:szCs w:val="24"/>
        </w:rPr>
        <w:t xml:space="preserve">1. PURPOSE &amp; SCOPE</w:t>
      </w:r>
    </w:p>
    <w:p>
      <w:pPr>
        <w:pBdr>
          <w:bottom w:val="single" w:color="0D4F6E" w:sz="8" w:space="1"/>
        </w:pBdr>
        <w:spacing w:after="120" w:before="0"/>
      </w:pPr>
      <w:r>
        <w:t xml:space="preserve"/>
      </w:r>
    </w:p>
    <w:p>
      <w:pPr>
        <w:spacing w:after="100" w:before="80"/>
      </w:pPr>
      <w:r>
        <w:rPr>
          <w:rFonts w:ascii="Arial" w:cs="Arial" w:eastAsia="Arial" w:hAnsi="Arial"/>
          <w:color w:val="1A1A1A"/>
          <w:sz w:val="20"/>
          <w:szCs w:val="20"/>
        </w:rPr>
        <w:t xml:space="preserve">This register documents the formally approved Recovery Time Objectives (RTOs) and Recovery Point Objectives (RPOs) for all critical business functions and IT systems of DemoTech Enterprises (Pvt.) Ltd. These objectives have been determined through the Business Impact Analysis (BIA) process and validated by senior management.</w:t>
      </w:r>
    </w:p>
    <w:p>
      <w:pPr>
        <w:spacing w:after="80" w:before="0"/>
      </w:pPr>
      <w:r>
        <w:t xml:space="preserve"/>
      </w:r>
    </w:p>
    <w:p>
      <w:pPr>
        <w:spacing w:after="100" w:before="80"/>
      </w:pPr>
      <w:r>
        <w:rPr>
          <w:rFonts w:ascii="Arial" w:cs="Arial" w:eastAsia="Arial" w:hAnsi="Arial"/>
          <w:color w:val="1A1A1A"/>
          <w:sz w:val="20"/>
          <w:szCs w:val="20"/>
        </w:rPr>
        <w:t xml:space="preserve">RTOs and RPOs are aligned with SBP's Enterprise Technology Governance &amp; Risk Management Framework (ETGRMF) requirements for business continuity planning, and are reviewed annually and following any material change in business operations or IT infrastructure.</w:t>
      </w:r>
    </w:p>
    <w:p>
      <w:pPr>
        <w:spacing w:after="200" w:before="0"/>
      </w:pPr>
      <w:r>
        <w:t xml:space="preserve"/>
      </w:r>
    </w:p>
    <w:p>
      <w:pPr>
        <w:spacing w:after="140" w:before="280"/>
      </w:pPr>
      <w:r>
        <w:rPr>
          <w:rFonts w:ascii="Arial" w:cs="Arial" w:eastAsia="Arial" w:hAnsi="Arial"/>
          <w:b/>
          <w:bCs/>
          <w:color w:val="0D4F6E"/>
          <w:sz w:val="24"/>
          <w:szCs w:val="24"/>
        </w:rPr>
        <w:t xml:space="preserve">2. DEFINITIONS</w:t>
      </w:r>
    </w:p>
    <w:p>
      <w:pPr>
        <w:pBdr>
          <w:bottom w:val="single" w:color="0D4F6E"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D4F6E" w:sz="6"/>
              <w:left w:val="single" w:color="0D4F6E" w:sz="6"/>
              <w:bottom w:val="single" w:color="0D4F6E" w:sz="6"/>
              <w:right w:val="single" w:color="0D4F6E" w:sz="6"/>
            </w:tcBorders>
            <w:shd w:fill="0D4F6E" w:val="clear"/>
            <w:tcMar>
              <w:top w:type="dxa" w:w="100"/>
              <w:left w:type="dxa" w:w="140"/>
              <w:bottom w:type="dxa" w:w="100"/>
              <w:right w:type="dxa" w:w="140"/>
            </w:tcMar>
          </w:tcPr>
          <w:p>
            <w:r>
              <w:rPr>
                <w:rFonts w:ascii="Arial" w:cs="Arial" w:eastAsia="Arial" w:hAnsi="Arial"/>
                <w:b/>
                <w:bCs/>
                <w:color w:val="FFFFFF"/>
                <w:sz w:val="19"/>
                <w:szCs w:val="19"/>
              </w:rPr>
              <w:t xml:space="preserve">Term</w:t>
            </w:r>
          </w:p>
        </w:tc>
        <w:tc>
          <w:tcPr>
            <w:tcW w:type="dxa" w:w="7560"/>
            <w:tcBorders>
              <w:top w:val="single" w:color="0D4F6E" w:sz="6"/>
              <w:left w:val="single" w:color="0D4F6E" w:sz="6"/>
              <w:bottom w:val="single" w:color="0D4F6E" w:sz="6"/>
              <w:right w:val="single" w:color="0D4F6E" w:sz="6"/>
            </w:tcBorders>
            <w:shd w:fill="0D4F6E" w:val="clear"/>
            <w:tcMar>
              <w:top w:type="dxa" w:w="100"/>
              <w:left w:type="dxa" w:w="140"/>
              <w:bottom w:type="dxa" w:w="100"/>
              <w:right w:type="dxa" w:w="140"/>
            </w:tcMar>
          </w:tcPr>
          <w:p>
            <w:r>
              <w:rPr>
                <w:rFonts w:ascii="Arial" w:cs="Arial" w:eastAsia="Arial" w:hAnsi="Arial"/>
                <w:b/>
                <w:bCs/>
                <w:color w:val="FFFFFF"/>
                <w:sz w:val="19"/>
                <w:szCs w:val="19"/>
              </w:rPr>
              <w:t xml:space="preserve">Definition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0D4F6E"/>
                <w:sz w:val="19"/>
                <w:szCs w:val="19"/>
              </w:rPr>
              <w:t xml:space="preserve">RTO</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Recovery Time Objective — the maximum tolerable duration of downtime for a system or business function before the disruption causes unacceptable business impact.</w:t>
            </w:r>
          </w:p>
        </w:tc>
      </w:tr>
      <w:tr>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0D4F6E"/>
                <w:sz w:val="19"/>
                <w:szCs w:val="19"/>
              </w:rPr>
              <w:t xml:space="preserve">RPO</w:t>
            </w:r>
          </w:p>
        </w:tc>
        <w:tc>
          <w:tcPr>
            <w:tcW w:type="dxa" w:w="75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Recovery Point Objective — the maximum acceptable amount of data loss measured in time; how far back in time the recovery point must be to avoid unacceptable data loss.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0D4F6E"/>
                <w:sz w:val="19"/>
                <w:szCs w:val="19"/>
              </w:rPr>
              <w:t xml:space="preserve">Tier 1</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Mission-critical systems requiring immediate recovery. Disruption of &gt;4 hours results in regulatory breach, financial loss, or reputational damage.</w:t>
            </w:r>
          </w:p>
        </w:tc>
      </w:tr>
      <w:tr>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0D4F6E"/>
                <w:sz w:val="19"/>
                <w:szCs w:val="19"/>
              </w:rPr>
              <w:t xml:space="preserve">Tier 2</w:t>
            </w:r>
          </w:p>
        </w:tc>
        <w:tc>
          <w:tcPr>
            <w:tcW w:type="dxa" w:w="75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Important systems. Disruption of &gt;24 hours causes significant operational impact but does not immediately trigger regulatory breach.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0D4F6E"/>
                <w:sz w:val="19"/>
                <w:szCs w:val="19"/>
              </w:rPr>
              <w:t xml:space="preserve">Tier 3</w:t>
            </w:r>
          </w:p>
        </w:tc>
        <w:tc>
          <w:tcPr>
            <w:tcW w:type="dxa" w:w="7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Supporting systems. Disruption can be tolerated for 48–72 hours with manual workarounds.</w:t>
            </w:r>
          </w:p>
        </w:tc>
      </w:tr>
    </w:tbl>
    <w:p>
      <w:pPr>
        <w:spacing w:after="200" w:before="0"/>
      </w:pPr>
      <w:r>
        <w:t xml:space="preserve"/>
      </w:r>
    </w:p>
    <w:p>
      <w:pPr>
        <w:spacing w:after="140" w:before="280"/>
      </w:pPr>
      <w:r>
        <w:rPr>
          <w:rFonts w:ascii="Arial" w:cs="Arial" w:eastAsia="Arial" w:hAnsi="Arial"/>
          <w:b/>
          <w:bCs/>
          <w:color w:val="0D4F6E"/>
          <w:sz w:val="24"/>
          <w:szCs w:val="24"/>
        </w:rPr>
        <w:t xml:space="preserve">3. RTO / RPO REGISTER</w:t>
      </w:r>
    </w:p>
    <w:p>
      <w:pPr>
        <w:pBdr>
          <w:bottom w:val="single" w:color="0D4F6E"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800"/>
        <w:gridCol w:w="800"/>
        <w:gridCol w:w="900"/>
        <w:gridCol w:w="3060"/>
      </w:tblGrid>
      <w:tr>
        <w:tc>
          <w:tcPr>
            <w:tcW w:type="dxa" w:w="2400"/>
            <w:tcBorders>
              <w:top w:val="single" w:color="0D4F6E" w:sz="6"/>
              <w:left w:val="single" w:color="0D4F6E" w:sz="6"/>
              <w:bottom w:val="single" w:color="0D4F6E" w:sz="6"/>
              <w:right w:val="single" w:color="0D4F6E" w:sz="6"/>
            </w:tcBorders>
            <w:shd w:fill="0D4F6E" w:val="clear"/>
            <w:tcMar>
              <w:top w:type="dxa" w:w="100"/>
              <w:left w:type="dxa" w:w="140"/>
              <w:bottom w:type="dxa" w:w="100"/>
              <w:right w:type="dxa" w:w="140"/>
            </w:tcMar>
          </w:tcPr>
          <w:p>
            <w:r>
              <w:rPr>
                <w:rFonts w:ascii="Arial" w:cs="Arial" w:eastAsia="Arial" w:hAnsi="Arial"/>
                <w:b/>
                <w:bCs/>
                <w:color w:val="FFFFFF"/>
                <w:sz w:val="19"/>
                <w:szCs w:val="19"/>
              </w:rPr>
              <w:t xml:space="preserve">System / Business Function</w:t>
            </w:r>
          </w:p>
        </w:tc>
        <w:tc>
          <w:tcPr>
            <w:tcW w:type="dxa" w:w="1400"/>
            <w:tcBorders>
              <w:top w:val="single" w:color="0D4F6E" w:sz="6"/>
              <w:left w:val="single" w:color="0D4F6E" w:sz="6"/>
              <w:bottom w:val="single" w:color="0D4F6E" w:sz="6"/>
              <w:right w:val="single" w:color="0D4F6E" w:sz="6"/>
            </w:tcBorders>
            <w:shd w:fill="0D4F6E" w:val="clear"/>
            <w:tcMar>
              <w:top w:type="dxa" w:w="100"/>
              <w:left w:type="dxa" w:w="140"/>
              <w:bottom w:type="dxa" w:w="100"/>
              <w:right w:type="dxa" w:w="140"/>
            </w:tcMar>
          </w:tcPr>
          <w:p>
            <w:r>
              <w:rPr>
                <w:rFonts w:ascii="Arial" w:cs="Arial" w:eastAsia="Arial" w:hAnsi="Arial"/>
                <w:b/>
                <w:bCs/>
                <w:color w:val="FFFFFF"/>
                <w:sz w:val="19"/>
                <w:szCs w:val="19"/>
              </w:rPr>
              <w:t xml:space="preserve">Category</w:t>
            </w:r>
          </w:p>
        </w:tc>
        <w:tc>
          <w:tcPr>
            <w:tcW w:type="dxa" w:w="800"/>
            <w:tcBorders>
              <w:top w:val="single" w:color="0D4F6E" w:sz="6"/>
              <w:left w:val="single" w:color="0D4F6E" w:sz="6"/>
              <w:bottom w:val="single" w:color="0D4F6E" w:sz="6"/>
              <w:right w:val="single" w:color="0D4F6E" w:sz="6"/>
            </w:tcBorders>
            <w:shd w:fill="0D4F6E" w:val="clear"/>
            <w:tcMar>
              <w:top w:type="dxa" w:w="100"/>
              <w:left w:type="dxa" w:w="140"/>
              <w:bottom w:type="dxa" w:w="100"/>
              <w:right w:type="dxa" w:w="140"/>
            </w:tcMar>
          </w:tcPr>
          <w:p>
            <w:r>
              <w:rPr>
                <w:rFonts w:ascii="Arial" w:cs="Arial" w:eastAsia="Arial" w:hAnsi="Arial"/>
                <w:b/>
                <w:bCs/>
                <w:color w:val="FFFFFF"/>
                <w:sz w:val="19"/>
                <w:szCs w:val="19"/>
              </w:rPr>
              <w:t xml:space="preserve">RTO</w:t>
            </w:r>
          </w:p>
        </w:tc>
        <w:tc>
          <w:tcPr>
            <w:tcW w:type="dxa" w:w="800"/>
            <w:tcBorders>
              <w:top w:val="single" w:color="0D4F6E" w:sz="6"/>
              <w:left w:val="single" w:color="0D4F6E" w:sz="6"/>
              <w:bottom w:val="single" w:color="0D4F6E" w:sz="6"/>
              <w:right w:val="single" w:color="0D4F6E" w:sz="6"/>
            </w:tcBorders>
            <w:shd w:fill="0D4F6E" w:val="clear"/>
            <w:tcMar>
              <w:top w:type="dxa" w:w="100"/>
              <w:left w:type="dxa" w:w="140"/>
              <w:bottom w:type="dxa" w:w="100"/>
              <w:right w:type="dxa" w:w="140"/>
            </w:tcMar>
          </w:tcPr>
          <w:p>
            <w:r>
              <w:rPr>
                <w:rFonts w:ascii="Arial" w:cs="Arial" w:eastAsia="Arial" w:hAnsi="Arial"/>
                <w:b/>
                <w:bCs/>
                <w:color w:val="FFFFFF"/>
                <w:sz w:val="19"/>
                <w:szCs w:val="19"/>
              </w:rPr>
              <w:t xml:space="preserve">RPO</w:t>
            </w:r>
          </w:p>
        </w:tc>
        <w:tc>
          <w:tcPr>
            <w:tcW w:type="dxa" w:w="900"/>
            <w:tcBorders>
              <w:top w:val="single" w:color="0D4F6E" w:sz="6"/>
              <w:left w:val="single" w:color="0D4F6E" w:sz="6"/>
              <w:bottom w:val="single" w:color="0D4F6E" w:sz="6"/>
              <w:right w:val="single" w:color="0D4F6E" w:sz="6"/>
            </w:tcBorders>
            <w:shd w:fill="0D4F6E"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3060"/>
            <w:tcBorders>
              <w:top w:val="single" w:color="0D4F6E" w:sz="6"/>
              <w:left w:val="single" w:color="0D4F6E" w:sz="6"/>
              <w:bottom w:val="single" w:color="0D4F6E" w:sz="6"/>
              <w:right w:val="single" w:color="0D4F6E" w:sz="6"/>
            </w:tcBorders>
            <w:shd w:fill="0D4F6E" w:val="clear"/>
            <w:tcMar>
              <w:top w:type="dxa" w:w="100"/>
              <w:left w:type="dxa" w:w="140"/>
              <w:bottom w:type="dxa" w:w="100"/>
              <w:right w:type="dxa" w:w="140"/>
            </w:tcMar>
          </w:tcPr>
          <w:p>
            <w:r>
              <w:rPr>
                <w:rFonts w:ascii="Arial" w:cs="Arial" w:eastAsia="Arial" w:hAnsi="Arial"/>
                <w:b/>
                <w:bCs/>
                <w:color w:val="FFFFFF"/>
                <w:sz w:val="19"/>
                <w:szCs w:val="19"/>
              </w:rPr>
              <w:t xml:space="preserve">Recovery Strategy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Core Banking System (T24)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IT System</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4 hrs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D4860A"/>
                <w:sz w:val="19"/>
                <w:szCs w:val="19"/>
              </w:rPr>
              <w:t xml:space="preserve">1 hr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Tier 1</w:t>
            </w:r>
          </w:p>
        </w:tc>
        <w:tc>
          <w:tcPr>
            <w:tcW w:type="dxa" w:w="3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Hot standby / Active-active cluster</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Internet Banking Portal</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IT System</w:t>
            </w:r>
          </w:p>
        </w:tc>
        <w:tc>
          <w:tcPr>
            <w:tcW w:type="dxa" w:w="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2 hrs</w:t>
            </w:r>
          </w:p>
        </w:tc>
        <w:tc>
          <w:tcPr>
            <w:tcW w:type="dxa" w:w="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D4860A"/>
                <w:sz w:val="19"/>
                <w:szCs w:val="19"/>
              </w:rPr>
              <w:t xml:space="preserve">30 min</w:t>
            </w:r>
          </w:p>
        </w:tc>
        <w:tc>
          <w:tcPr>
            <w:tcW w:type="dxa" w:w="9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Tier 1</w:t>
            </w:r>
          </w:p>
        </w:tc>
        <w:tc>
          <w:tcPr>
            <w:tcW w:type="dxa" w:w="30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Load-balanced DR replication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Payment Processing Engine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Business Function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1 hr</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D4860A"/>
                <w:sz w:val="19"/>
                <w:szCs w:val="19"/>
              </w:rPr>
              <w:t xml:space="preserve">15 min</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Tier 1</w:t>
            </w:r>
          </w:p>
        </w:tc>
        <w:tc>
          <w:tcPr>
            <w:tcW w:type="dxa" w:w="3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Real-time sync to DR site</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SWIFT Messaging Gateway</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IT System</w:t>
            </w:r>
          </w:p>
        </w:tc>
        <w:tc>
          <w:tcPr>
            <w:tcW w:type="dxa" w:w="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2 hrs</w:t>
            </w:r>
          </w:p>
        </w:tc>
        <w:tc>
          <w:tcPr>
            <w:tcW w:type="dxa" w:w="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D4860A"/>
                <w:sz w:val="19"/>
                <w:szCs w:val="19"/>
              </w:rPr>
              <w:t xml:space="preserve">30 min</w:t>
            </w:r>
          </w:p>
        </w:tc>
        <w:tc>
          <w:tcPr>
            <w:tcW w:type="dxa" w:w="9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Tier 1</w:t>
            </w:r>
          </w:p>
        </w:tc>
        <w:tc>
          <w:tcPr>
            <w:tcW w:type="dxa" w:w="30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Warm standby at secondary DC</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ATM Network &amp; Card Processing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Business Function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4 hrs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D4860A"/>
                <w:sz w:val="19"/>
                <w:szCs w:val="19"/>
              </w:rPr>
              <w:t xml:space="preserve">1 hr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Tier 1</w:t>
            </w:r>
          </w:p>
        </w:tc>
        <w:tc>
          <w:tcPr>
            <w:tcW w:type="dxa" w:w="3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Failover to third-party processor</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Credit Risk Assessment System</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IT System</w:t>
            </w:r>
          </w:p>
        </w:tc>
        <w:tc>
          <w:tcPr>
            <w:tcW w:type="dxa" w:w="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8 hrs</w:t>
            </w:r>
          </w:p>
        </w:tc>
        <w:tc>
          <w:tcPr>
            <w:tcW w:type="dxa" w:w="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D4860A"/>
                <w:sz w:val="19"/>
                <w:szCs w:val="19"/>
              </w:rPr>
              <w:t xml:space="preserve">4 hrs</w:t>
            </w:r>
          </w:p>
        </w:tc>
        <w:tc>
          <w:tcPr>
            <w:tcW w:type="dxa" w:w="9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D4860A"/>
                <w:sz w:val="19"/>
                <w:szCs w:val="19"/>
              </w:rPr>
              <w:t xml:space="preserve">Tier 2</w:t>
            </w:r>
          </w:p>
        </w:tc>
        <w:tc>
          <w:tcPr>
            <w:tcW w:type="dxa" w:w="30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Daily backup + restore from DR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AML / Compliance Monitoring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IT System</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8 hrs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D4860A"/>
                <w:sz w:val="19"/>
                <w:szCs w:val="19"/>
              </w:rPr>
              <w:t xml:space="preserve">4 hrs</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D4860A"/>
                <w:sz w:val="19"/>
                <w:szCs w:val="19"/>
              </w:rPr>
              <w:t xml:space="preserve">Tier 2</w:t>
            </w:r>
          </w:p>
        </w:tc>
        <w:tc>
          <w:tcPr>
            <w:tcW w:type="dxa" w:w="3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VM snapshot replication (6-hr cycle)</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Treasury Management System</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Business Function</w:t>
            </w:r>
          </w:p>
        </w:tc>
        <w:tc>
          <w:tcPr>
            <w:tcW w:type="dxa" w:w="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4 hrs</w:t>
            </w:r>
          </w:p>
        </w:tc>
        <w:tc>
          <w:tcPr>
            <w:tcW w:type="dxa" w:w="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D4860A"/>
                <w:sz w:val="19"/>
                <w:szCs w:val="19"/>
              </w:rPr>
              <w:t xml:space="preserve">2 hrs</w:t>
            </w:r>
          </w:p>
        </w:tc>
        <w:tc>
          <w:tcPr>
            <w:tcW w:type="dxa" w:w="9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D4860A"/>
                <w:sz w:val="19"/>
                <w:szCs w:val="19"/>
              </w:rPr>
              <w:t xml:space="preserve">Tier 2</w:t>
            </w:r>
          </w:p>
        </w:tc>
        <w:tc>
          <w:tcPr>
            <w:tcW w:type="dxa" w:w="30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Warm standby + manual failover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Customer Onboarding (CDD/KYC)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Business Function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24 hrs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D4860A"/>
                <w:sz w:val="19"/>
                <w:szCs w:val="19"/>
              </w:rPr>
              <w:t xml:space="preserve">8 hrs</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D4860A"/>
                <w:sz w:val="19"/>
                <w:szCs w:val="19"/>
              </w:rPr>
              <w:t xml:space="preserve">Tier 2</w:t>
            </w:r>
          </w:p>
        </w:tc>
        <w:tc>
          <w:tcPr>
            <w:tcW w:type="dxa" w:w="3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Manual process + offline forms</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HR &amp; Payroll System</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IT System</w:t>
            </w:r>
          </w:p>
        </w:tc>
        <w:tc>
          <w:tcPr>
            <w:tcW w:type="dxa" w:w="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48 hrs</w:t>
            </w:r>
          </w:p>
        </w:tc>
        <w:tc>
          <w:tcPr>
            <w:tcW w:type="dxa" w:w="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D4860A"/>
                <w:sz w:val="19"/>
                <w:szCs w:val="19"/>
              </w:rPr>
              <w:t xml:space="preserve">24 hrs</w:t>
            </w:r>
          </w:p>
        </w:tc>
        <w:tc>
          <w:tcPr>
            <w:tcW w:type="dxa" w:w="9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8C3A"/>
                <w:sz w:val="19"/>
                <w:szCs w:val="19"/>
              </w:rPr>
              <w:t xml:space="preserve">Tier 3</w:t>
            </w:r>
          </w:p>
        </w:tc>
        <w:tc>
          <w:tcPr>
            <w:tcW w:type="dxa" w:w="30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Cold standby + tape restore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Document Management System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IT System</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24 hrs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D4860A"/>
                <w:sz w:val="19"/>
                <w:szCs w:val="19"/>
              </w:rPr>
              <w:t xml:space="preserve">8 hrs</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Tier 3</w:t>
            </w:r>
          </w:p>
        </w:tc>
        <w:tc>
          <w:tcPr>
            <w:tcW w:type="dxa" w:w="3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Nightly backup to DR</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Branch Operations Platform</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Business Function</w:t>
            </w:r>
          </w:p>
        </w:tc>
        <w:tc>
          <w:tcPr>
            <w:tcW w:type="dxa" w:w="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8 hrs</w:t>
            </w:r>
          </w:p>
        </w:tc>
        <w:tc>
          <w:tcPr>
            <w:tcW w:type="dxa" w:w="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D4860A"/>
                <w:sz w:val="19"/>
                <w:szCs w:val="19"/>
              </w:rPr>
              <w:t xml:space="preserve">4 hrs</w:t>
            </w:r>
          </w:p>
        </w:tc>
        <w:tc>
          <w:tcPr>
            <w:tcW w:type="dxa" w:w="9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D4860A"/>
                <w:sz w:val="19"/>
                <w:szCs w:val="19"/>
              </w:rPr>
              <w:t xml:space="preserve">Tier 2</w:t>
            </w:r>
          </w:p>
        </w:tc>
        <w:tc>
          <w:tcPr>
            <w:tcW w:type="dxa" w:w="30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Offline mode + central sync on restore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Data Warehouse &amp; Reporting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IT System</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72 hrs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D4860A"/>
                <w:sz w:val="19"/>
                <w:szCs w:val="19"/>
              </w:rPr>
              <w:t xml:space="preserve">24 hrs</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Tier 3</w:t>
            </w:r>
          </w:p>
        </w:tc>
        <w:tc>
          <w:tcPr>
            <w:tcW w:type="dxa" w:w="3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Full restore from nightly backup</w:t>
            </w:r>
          </w:p>
        </w:tc>
      </w:tr>
      <w:tr>
        <w:tc>
          <w:tcPr>
            <w:tcW w:type="dxa" w:w="2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1A1A1A"/>
                <w:sz w:val="19"/>
                <w:szCs w:val="19"/>
              </w:rPr>
              <w:t xml:space="preserve">Email &amp; Communication Platform</w:t>
            </w:r>
          </w:p>
        </w:tc>
        <w:tc>
          <w:tcPr>
            <w:tcW w:type="dxa" w:w="14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IT System</w:t>
            </w:r>
          </w:p>
        </w:tc>
        <w:tc>
          <w:tcPr>
            <w:tcW w:type="dxa" w:w="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C0392B"/>
                <w:sz w:val="19"/>
                <w:szCs w:val="19"/>
              </w:rPr>
              <w:t xml:space="preserve">8 hrs</w:t>
            </w:r>
          </w:p>
        </w:tc>
        <w:tc>
          <w:tcPr>
            <w:tcW w:type="dxa" w:w="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D4860A"/>
                <w:sz w:val="19"/>
                <w:szCs w:val="19"/>
              </w:rPr>
              <w:t xml:space="preserve">4 hrs</w:t>
            </w:r>
          </w:p>
        </w:tc>
        <w:tc>
          <w:tcPr>
            <w:tcW w:type="dxa" w:w="9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D4860A"/>
                <w:sz w:val="19"/>
                <w:szCs w:val="19"/>
              </w:rPr>
              <w:t xml:space="preserve">Tier 2</w:t>
            </w:r>
          </w:p>
        </w:tc>
        <w:tc>
          <w:tcPr>
            <w:tcW w:type="dxa" w:w="306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Cloud-based failover (MS365)</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1A1A"/>
                <w:sz w:val="19"/>
                <w:szCs w:val="19"/>
              </w:rPr>
              <w:t xml:space="preserve">Network &amp; Core Infrastructure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IT System</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2 hrs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D4860A"/>
                <w:sz w:val="19"/>
                <w:szCs w:val="19"/>
              </w:rPr>
              <w:t xml:space="preserve">1 hr</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Tier 1</w:t>
            </w:r>
          </w:p>
        </w:tc>
        <w:tc>
          <w:tcPr>
            <w:tcW w:type="dxa" w:w="30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Redundant links + BGP failover</w:t>
            </w:r>
          </w:p>
        </w:tc>
      </w:tr>
    </w:tbl>
    <w:p>
      <w:pPr>
        <w:spacing w:after="200" w:before="0"/>
      </w:pPr>
      <w:r>
        <w:t xml:space="preserve"/>
      </w:r>
    </w:p>
    <w:p>
      <w:pPr>
        <w:spacing w:after="140" w:before="280"/>
      </w:pPr>
      <w:r>
        <w:rPr>
          <w:rFonts w:ascii="Arial" w:cs="Arial" w:eastAsia="Arial" w:hAnsi="Arial"/>
          <w:b/>
          <w:bCs/>
          <w:color w:val="0D4F6E"/>
          <w:sz w:val="24"/>
          <w:szCs w:val="24"/>
        </w:rPr>
        <w:t xml:space="preserve">4. RTO/RPO SUMMARY — TIER BREAKDOWN</w:t>
      </w:r>
    </w:p>
    <w:p>
      <w:pPr>
        <w:pBdr>
          <w:bottom w:val="single" w:color="0D4F6E" w:sz="8" w:space="1"/>
        </w:pBd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0D4F6E" w:sz="6"/>
              <w:left w:val="single" w:color="0D4F6E" w:sz="6"/>
              <w:bottom w:val="single" w:color="0D4F6E" w:sz="6"/>
              <w:right w:val="single" w:color="0D4F6E" w:sz="6"/>
            </w:tcBorders>
            <w:shd w:fill="0D4F6E" w:val="clear"/>
            <w:tcMar>
              <w:top w:type="dxa" w:w="100"/>
              <w:left w:type="dxa" w:w="140"/>
              <w:bottom w:type="dxa" w:w="100"/>
              <w:right w:type="dxa" w:w="140"/>
            </w:tcMar>
          </w:tcPr>
          <w:p>
            <w:r>
              <w:rPr>
                <w:rFonts w:ascii="Arial" w:cs="Arial" w:eastAsia="Arial" w:hAnsi="Arial"/>
                <w:b/>
                <w:bCs/>
                <w:color w:val="FFFFFF"/>
                <w:sz w:val="19"/>
                <w:szCs w:val="19"/>
              </w:rPr>
              <w:t xml:space="preserve">Priority Tier</w:t>
            </w:r>
          </w:p>
        </w:tc>
        <w:tc>
          <w:tcPr>
            <w:tcW w:type="dxa" w:w="2520"/>
            <w:tcBorders>
              <w:top w:val="single" w:color="0D4F6E" w:sz="6"/>
              <w:left w:val="single" w:color="0D4F6E" w:sz="6"/>
              <w:bottom w:val="single" w:color="0D4F6E" w:sz="6"/>
              <w:right w:val="single" w:color="0D4F6E" w:sz="6"/>
            </w:tcBorders>
            <w:shd w:fill="0D4F6E" w:val="clear"/>
            <w:tcMar>
              <w:top w:type="dxa" w:w="100"/>
              <w:left w:type="dxa" w:w="140"/>
              <w:bottom w:type="dxa" w:w="100"/>
              <w:right w:type="dxa" w:w="140"/>
            </w:tcMar>
          </w:tcPr>
          <w:p>
            <w:r>
              <w:rPr>
                <w:rFonts w:ascii="Arial" w:cs="Arial" w:eastAsia="Arial" w:hAnsi="Arial"/>
                <w:b/>
                <w:bCs/>
                <w:color w:val="FFFFFF"/>
                <w:sz w:val="19"/>
                <w:szCs w:val="19"/>
              </w:rPr>
              <w:t xml:space="preserve">Count</w:t>
            </w:r>
          </w:p>
        </w:tc>
        <w:tc>
          <w:tcPr>
            <w:tcW w:type="dxa" w:w="2520"/>
            <w:tcBorders>
              <w:top w:val="single" w:color="0D4F6E" w:sz="6"/>
              <w:left w:val="single" w:color="0D4F6E" w:sz="6"/>
              <w:bottom w:val="single" w:color="0D4F6E" w:sz="6"/>
              <w:right w:val="single" w:color="0D4F6E" w:sz="6"/>
            </w:tcBorders>
            <w:shd w:fill="0D4F6E" w:val="clear"/>
            <w:tcMar>
              <w:top w:type="dxa" w:w="100"/>
              <w:left w:type="dxa" w:w="140"/>
              <w:bottom w:type="dxa" w:w="100"/>
              <w:right w:type="dxa" w:w="140"/>
            </w:tcMar>
          </w:tcPr>
          <w:p>
            <w:r>
              <w:rPr>
                <w:rFonts w:ascii="Arial" w:cs="Arial" w:eastAsia="Arial" w:hAnsi="Arial"/>
                <w:b/>
                <w:bCs/>
                <w:color w:val="FFFFFF"/>
                <w:sz w:val="19"/>
                <w:szCs w:val="19"/>
              </w:rPr>
              <w:t xml:space="preserve">Max RTO</w:t>
            </w:r>
          </w:p>
        </w:tc>
        <w:tc>
          <w:tcPr>
            <w:tcW w:type="dxa" w:w="2520"/>
            <w:tcBorders>
              <w:top w:val="single" w:color="0D4F6E" w:sz="6"/>
              <w:left w:val="single" w:color="0D4F6E" w:sz="6"/>
              <w:bottom w:val="single" w:color="0D4F6E" w:sz="6"/>
              <w:right w:val="single" w:color="0D4F6E" w:sz="6"/>
            </w:tcBorders>
            <w:shd w:fill="0D4F6E" w:val="clear"/>
            <w:tcMar>
              <w:top w:type="dxa" w:w="100"/>
              <w:left w:type="dxa" w:w="140"/>
              <w:bottom w:type="dxa" w:w="100"/>
              <w:right w:type="dxa" w:w="140"/>
            </w:tcMar>
          </w:tcPr>
          <w:p>
            <w:r>
              <w:rPr>
                <w:rFonts w:ascii="Arial" w:cs="Arial" w:eastAsia="Arial" w:hAnsi="Arial"/>
                <w:b/>
                <w:bCs/>
                <w:color w:val="FFFFFF"/>
                <w:sz w:val="19"/>
                <w:szCs w:val="19"/>
              </w:rPr>
              <w:t xml:space="preserve">Max RPO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C0392B"/>
                <w:sz w:val="19"/>
                <w:szCs w:val="19"/>
              </w:rPr>
              <w:t xml:space="preserve">Tier 1 — Mission Critical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5 systems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4 hours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1 hour</w:t>
            </w:r>
          </w:p>
        </w:tc>
      </w:tr>
      <w:tr>
        <w:tc>
          <w:tcPr>
            <w:tcW w:type="dxa" w:w="180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bCs/>
                <w:color w:val="D4860A"/>
                <w:sz w:val="19"/>
                <w:szCs w:val="19"/>
              </w:rPr>
              <w:t xml:space="preserve">Tier 2 — Important</w:t>
            </w:r>
          </w:p>
        </w:tc>
        <w:tc>
          <w:tcPr>
            <w:tcW w:type="dxa" w:w="25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6 systems</w:t>
            </w:r>
          </w:p>
        </w:tc>
        <w:tc>
          <w:tcPr>
            <w:tcW w:type="dxa" w:w="25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24 hours</w:t>
            </w:r>
          </w:p>
        </w:tc>
        <w:tc>
          <w:tcPr>
            <w:tcW w:type="dxa" w:w="2520"/>
            <w:tcBorders>
              <w:top w:val="single" w:color="CCCCCC" w:sz="4"/>
              <w:left w:val="single" w:color="CCCCCC" w:sz="4"/>
              <w:bottom w:val="single" w:color="CCCCCC" w:sz="4"/>
              <w:right w:val="single" w:color="CCCCCC" w:sz="4"/>
            </w:tcBorders>
            <w:shd w:fill="F4F6FA" w:val="clear"/>
            <w:tcMar>
              <w:top w:type="dxa" w:w="80"/>
              <w:left w:type="dxa" w:w="140"/>
              <w:bottom w:type="dxa" w:w="80"/>
              <w:right w:type="dxa" w:w="140"/>
            </w:tcMar>
          </w:tcPr>
          <w:p>
            <w:r>
              <w:rPr>
                <w:rFonts w:ascii="Arial" w:cs="Arial" w:eastAsia="Arial" w:hAnsi="Arial"/>
                <w:b w:val="false"/>
                <w:bCs w:val="false"/>
                <w:color w:val="1A1A1A"/>
                <w:sz w:val="19"/>
                <w:szCs w:val="19"/>
              </w:rPr>
              <w:t xml:space="preserve">8 hours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A8C3A"/>
                <w:sz w:val="19"/>
                <w:szCs w:val="19"/>
              </w:rPr>
              <w:t xml:space="preserve">Tier 3 — Supporting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4 systems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72 hours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1A1A1A"/>
                <w:sz w:val="19"/>
                <w:szCs w:val="19"/>
              </w:rPr>
              <w:t xml:space="preserve">24 hours</w:t>
            </w:r>
          </w:p>
        </w:tc>
      </w:tr>
    </w:tbl>
    <w:p>
      <w:pPr>
        <w:spacing w:after="200" w:before="0"/>
      </w:pPr>
      <w:r>
        <w:t xml:space="preserve"/>
      </w:r>
    </w:p>
    <w:p>
      <w:pPr>
        <w:spacing w:after="140" w:before="280"/>
      </w:pPr>
      <w:r>
        <w:rPr>
          <w:rFonts w:ascii="Arial" w:cs="Arial" w:eastAsia="Arial" w:hAnsi="Arial"/>
          <w:b/>
          <w:bCs/>
          <w:color w:val="0D4F6E"/>
          <w:sz w:val="24"/>
          <w:szCs w:val="24"/>
        </w:rPr>
        <w:t xml:space="preserve">5. APPROVAL &amp; SIGN-OFF</w:t>
      </w:r>
    </w:p>
    <w:p>
      <w:pPr>
        <w:pBdr>
          <w:bottom w:val="single" w:color="0D4F6E" w:sz="8" w:space="1"/>
        </w:pBdr>
        <w:spacing w:after="120" w:before="0"/>
      </w:pPr>
      <w:r>
        <w:t xml:space="preserve"/>
      </w:r>
    </w:p>
    <w:p>
      <w:pPr>
        <w:spacing w:after="100" w:before="80"/>
      </w:pPr>
      <w:r>
        <w:rPr>
          <w:rFonts w:ascii="Arial" w:cs="Arial" w:eastAsia="Arial" w:hAnsi="Arial"/>
          <w:color w:val="1A1A1A"/>
          <w:sz w:val="20"/>
          <w:szCs w:val="20"/>
        </w:rPr>
        <w:t xml:space="preserve">The RTO and RPO values documented in this register have been reviewed and formally approved by the following: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0EBF5" w:sz="6"/>
              <w:left w:val="single" w:color="D0EBF5" w:sz="6"/>
              <w:bottom w:val="single" w:color="D0EBF5" w:sz="6"/>
              <w:right w:val="single" w:color="D0EBF5" w:sz="6"/>
            </w:tcBorders>
            <w:tcMar>
              <w:top w:type="dxa" w:w="160"/>
              <w:left w:type="dxa" w:w="200"/>
              <w:bottom w:type="dxa" w:w="200"/>
              <w:right w:type="dxa" w:w="200"/>
            </w:tcMar>
          </w:tcPr>
          <w:p>
            <w:r>
              <w:rPr>
                <w:rFonts w:ascii="Arial" w:cs="Arial" w:eastAsia="Arial" w:hAnsi="Arial"/>
                <w:b/>
                <w:bCs/>
                <w:color w:val="0D4F6E"/>
                <w:sz w:val="18"/>
                <w:szCs w:val="18"/>
              </w:rPr>
              <w:t xml:space="preserve">Chief Information Security Officer</w:t>
            </w:r>
          </w:p>
          <w:p>
            <w:pPr>
              <w:pBdr>
                <w:bottom w:val="single" w:color="999999" w:sz="4" w:space="1"/>
              </w:pBdr>
              <w:spacing w:after="80" w:before="500"/>
            </w:pPr>
            <w:r>
              <w:rPr>
                <w:rFonts w:ascii="Arial" w:cs="Arial" w:eastAsia="Arial" w:hAnsi="Arial"/>
                <w:color w:val="555555"/>
                <w:sz w:val="18"/>
                <w:szCs w:val="18"/>
              </w:rPr>
              <w:t xml:space="preserve">Mr. Imran Ali   </w:t>
            </w:r>
          </w:p>
          <w:p>
            <w:r>
              <w:rPr>
                <w:rFonts w:ascii="Arial" w:cs="Arial" w:eastAsia="Arial" w:hAnsi="Arial"/>
                <w:color w:val="1A1A1A"/>
                <w:sz w:val="18"/>
                <w:szCs w:val="18"/>
              </w:rPr>
              <w:t xml:space="preserve">Date Signed: March 28, 2025</w:t>
            </w:r>
          </w:p>
        </w:tc>
        <w:tc>
          <w:tcPr>
            <w:tcW w:type="dxa" w:w="4860"/>
            <w:tcBorders>
              <w:top w:val="single" w:color="D0EBF5" w:sz="6"/>
              <w:left w:val="single" w:color="D0EBF5" w:sz="6"/>
              <w:bottom w:val="single" w:color="D0EBF5" w:sz="6"/>
              <w:right w:val="single" w:color="D0EBF5" w:sz="6"/>
            </w:tcBorders>
            <w:tcMar>
              <w:top w:type="dxa" w:w="160"/>
              <w:left w:type="dxa" w:w="200"/>
              <w:bottom w:type="dxa" w:w="200"/>
              <w:right w:type="dxa" w:w="200"/>
            </w:tcMar>
          </w:tcPr>
          <w:p>
            <w:r>
              <w:rPr>
                <w:rFonts w:ascii="Arial" w:cs="Arial" w:eastAsia="Arial" w:hAnsi="Arial"/>
                <w:b/>
                <w:bCs/>
                <w:color w:val="0D4F6E"/>
                <w:sz w:val="18"/>
                <w:szCs w:val="18"/>
              </w:rPr>
              <w:t xml:space="preserve">Head of IT Operations</w:t>
            </w:r>
          </w:p>
          <w:p>
            <w:pPr>
              <w:pBdr>
                <w:bottom w:val="single" w:color="999999" w:sz="4" w:space="1"/>
              </w:pBdr>
              <w:spacing w:after="80" w:before="500"/>
            </w:pPr>
            <w:r>
              <w:rPr>
                <w:rFonts w:ascii="Arial" w:cs="Arial" w:eastAsia="Arial" w:hAnsi="Arial"/>
                <w:color w:val="555555"/>
                <w:sz w:val="18"/>
                <w:szCs w:val="18"/>
              </w:rPr>
              <w:t xml:space="preserve">Mr. Tariq Hussain   </w:t>
            </w:r>
          </w:p>
          <w:p>
            <w:r>
              <w:rPr>
                <w:rFonts w:ascii="Arial" w:cs="Arial" w:eastAsia="Arial" w:hAnsi="Arial"/>
                <w:color w:val="1A1A1A"/>
                <w:sz w:val="18"/>
                <w:szCs w:val="18"/>
              </w:rPr>
              <w:t xml:space="preserve">Date Signed: March 28, 2025</w:t>
            </w:r>
          </w:p>
        </w:tc>
      </w:tr>
    </w:tbl>
    <w:p>
      <w:pPr>
        <w:spacing w:after="280" w:before="0"/>
      </w:pPr>
      <w:r>
        <w:t xml:space="preserve"/>
      </w:r>
    </w:p>
    <w:p>
      <w:pPr>
        <w:pBdr>
          <w:left w:val="single" w:color="0D4F6E" w:sz="16" w:space="1"/>
        </w:pBdr>
        <w:shd w:fill="F4F6FA" w:val="clear"/>
        <w:spacing w:after="0" w:before="0"/>
        <w:ind w:left="240"/>
      </w:pPr>
      <w:r>
        <w:rPr>
          <w:rFonts w:ascii="Arial" w:cs="Arial" w:eastAsia="Arial" w:hAnsi="Arial"/>
          <w:color w:val="555555"/>
          <w:sz w:val="16"/>
          <w:szCs w:val="16"/>
        </w:rPr>
        <w:t xml:space="preserve">Official Use Only  |  Document Ref: CV-BCP-RTO-001  |  ComplyVerse GRC Platform  |  SBP ETGRMF Evidence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2026-04-01T07:44:28.955Z</dcterms:created>
  <dcterms:modified xsi:type="dcterms:W3CDTF">2026-04-01T07:44:28.956Z</dcterms:modified>
</cp:coreProperties>
</file>

<file path=docProps/custom.xml><?xml version="1.0" encoding="utf-8"?>
<Properties xmlns="http://schemas.openxmlformats.org/officeDocument/2006/custom-properties" xmlns:vt="http://schemas.openxmlformats.org/officeDocument/2006/docPropsVTypes"/>
</file>