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E5C3A" w:val="clear"/>
        <w:spacing w:after="0" w:before="0"/>
      </w:pPr>
      <w:r>
        <w:rPr>
          <w:rFonts w:ascii="Arial" w:cs="Arial" w:eastAsia="Arial" w:hAnsi="Arial"/>
          <w:b/>
          <w:bCs/>
          <w:color w:val="FFFFFF"/>
          <w:sz w:val="32"/>
          <w:szCs w:val="32"/>
        </w:rPr>
        <w:t xml:space="preserve">COMPLYVERSE  |  MFA IMPLEMENTATION RECORDS</w:t>
      </w:r>
    </w:p>
    <w:p>
      <w:pPr>
        <w:shd w:fill="0E5C3A" w:val="clear"/>
        <w:spacing w:after="280" w:before="60"/>
      </w:pPr>
      <w:r>
        <w:rPr>
          <w:rFonts w:ascii="Arial" w:cs="Arial" w:eastAsia="Arial" w:hAnsi="Arial"/>
          <w:color w:val="A8D8BC"/>
          <w:sz w:val="22"/>
          <w:szCs w:val="22"/>
        </w:rPr>
        <w:t xml:space="preserve">Multi-Factor Authentication Implementation Evidence — ISO/IEC 27001:2022 A.5.17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F0E4" w:sz="4"/>
              <w:left w:val="single" w:color="D0F0E4" w:sz="4"/>
              <w:bottom w:val="single" w:color="D0F0E4" w:sz="4"/>
              <w:right w:val="single" w:color="D0F0E4" w:sz="4"/>
            </w:tcBorders>
            <w:shd w:fill="D0F0E4" w:val="clear"/>
            <w:tcMar>
              <w:top w:type="dxa" w:w="100"/>
              <w:left w:type="dxa" w:w="160"/>
              <w:bottom w:type="dxa" w:w="100"/>
              <w:right w:type="dxa" w:w="160"/>
            </w:tcMar>
          </w:tcPr>
          <w:p>
            <w:r>
              <w:rPr>
                <w:rFonts w:ascii="Arial" w:cs="Arial" w:eastAsia="Arial" w:hAnsi="Arial"/>
                <w:b/>
                <w:bCs/>
                <w:color w:val="0E5C3A"/>
                <w:sz w:val="17"/>
                <w:szCs w:val="17"/>
              </w:rPr>
              <w:t xml:space="preserve">Document Ref</w:t>
            </w:r>
          </w:p>
          <w:p>
            <w:r>
              <w:rPr>
                <w:rFonts w:ascii="Arial" w:cs="Arial" w:eastAsia="Arial" w:hAnsi="Arial"/>
                <w:color w:val="1A1A1A"/>
                <w:sz w:val="19"/>
                <w:szCs w:val="19"/>
              </w:rPr>
              <w:t xml:space="preserve">CV-AUTH-MFA-003</w:t>
            </w:r>
          </w:p>
        </w:tc>
        <w:tc>
          <w:tcPr>
            <w:tcW w:type="dxa" w:w="2340"/>
            <w:tcBorders>
              <w:top w:val="single" w:color="D0F0E4" w:sz="4"/>
              <w:left w:val="single" w:color="D0F0E4" w:sz="4"/>
              <w:bottom w:val="single" w:color="D0F0E4" w:sz="4"/>
              <w:right w:val="single" w:color="D0F0E4" w:sz="4"/>
            </w:tcBorders>
            <w:shd w:fill="D0F0E4" w:val="clear"/>
            <w:tcMar>
              <w:top w:type="dxa" w:w="100"/>
              <w:left w:type="dxa" w:w="160"/>
              <w:bottom w:type="dxa" w:w="100"/>
              <w:right w:type="dxa" w:w="160"/>
            </w:tcMar>
          </w:tcPr>
          <w:p>
            <w:r>
              <w:rPr>
                <w:rFonts w:ascii="Arial" w:cs="Arial" w:eastAsia="Arial" w:hAnsi="Arial"/>
                <w:b/>
                <w:bCs/>
                <w:color w:val="0E5C3A"/>
                <w:sz w:val="17"/>
                <w:szCs w:val="17"/>
              </w:rPr>
              <w:t xml:space="preserve">Effective Date</w:t>
            </w:r>
          </w:p>
          <w:p>
            <w:r>
              <w:rPr>
                <w:rFonts w:ascii="Arial" w:cs="Arial" w:eastAsia="Arial" w:hAnsi="Arial"/>
                <w:color w:val="1A1A1A"/>
                <w:sz w:val="19"/>
                <w:szCs w:val="19"/>
              </w:rPr>
              <w:t xml:space="preserve">March 28, 2025</w:t>
            </w:r>
          </w:p>
        </w:tc>
        <w:tc>
          <w:tcPr>
            <w:tcW w:type="dxa" w:w="2340"/>
            <w:tcBorders>
              <w:top w:val="single" w:color="D0F0E4" w:sz="4"/>
              <w:left w:val="single" w:color="D0F0E4" w:sz="4"/>
              <w:bottom w:val="single" w:color="D0F0E4" w:sz="4"/>
              <w:right w:val="single" w:color="D0F0E4" w:sz="4"/>
            </w:tcBorders>
            <w:shd w:fill="D0F0E4" w:val="clear"/>
            <w:tcMar>
              <w:top w:type="dxa" w:w="100"/>
              <w:left w:type="dxa" w:w="160"/>
              <w:bottom w:type="dxa" w:w="100"/>
              <w:right w:type="dxa" w:w="160"/>
            </w:tcMar>
          </w:tcPr>
          <w:p>
            <w:r>
              <w:rPr>
                <w:rFonts w:ascii="Arial" w:cs="Arial" w:eastAsia="Arial" w:hAnsi="Arial"/>
                <w:b/>
                <w:bCs/>
                <w:color w:val="0E5C3A"/>
                <w:sz w:val="17"/>
                <w:szCs w:val="17"/>
              </w:rPr>
              <w:t xml:space="preserve">ISO Control</w:t>
            </w:r>
          </w:p>
          <w:p>
            <w:r>
              <w:rPr>
                <w:rFonts w:ascii="Arial" w:cs="Arial" w:eastAsia="Arial" w:hAnsi="Arial"/>
                <w:color w:val="1A1A1A"/>
                <w:sz w:val="19"/>
                <w:szCs w:val="19"/>
              </w:rPr>
              <w:t xml:space="preserve">A.5.17 — Authentication Information</w:t>
            </w:r>
          </w:p>
        </w:tc>
        <w:tc>
          <w:tcPr>
            <w:tcW w:type="dxa" w:w="2340"/>
            <w:tcBorders>
              <w:top w:val="single" w:color="D0F0E4" w:sz="4"/>
              <w:left w:val="single" w:color="D0F0E4" w:sz="4"/>
              <w:bottom w:val="single" w:color="D0F0E4" w:sz="4"/>
              <w:right w:val="single" w:color="D0F0E4" w:sz="4"/>
            </w:tcBorders>
            <w:shd w:fill="D0F0E4" w:val="clear"/>
            <w:tcMar>
              <w:top w:type="dxa" w:w="100"/>
              <w:left w:type="dxa" w:w="160"/>
              <w:bottom w:type="dxa" w:w="100"/>
              <w:right w:type="dxa" w:w="160"/>
            </w:tcMar>
          </w:tcPr>
          <w:p>
            <w:r>
              <w:rPr>
                <w:rFonts w:ascii="Arial" w:cs="Arial" w:eastAsia="Arial" w:hAnsi="Arial"/>
                <w:b/>
                <w:bCs/>
                <w:color w:val="0E5C3A"/>
                <w:sz w:val="17"/>
                <w:szCs w:val="17"/>
              </w:rPr>
              <w:t xml:space="preserve">MFA Coverage</w:t>
            </w:r>
          </w:p>
          <w:p>
            <w:r>
              <w:rPr>
                <w:rFonts w:ascii="Arial" w:cs="Arial" w:eastAsia="Arial" w:hAnsi="Arial"/>
                <w:color w:val="1A1A1A"/>
                <w:sz w:val="19"/>
                <w:szCs w:val="19"/>
              </w:rPr>
              <w:t xml:space="preserve">100% of in-scope accounts</w:t>
            </w:r>
          </w:p>
        </w:tc>
      </w:tr>
    </w:tbl>
    <w:p>
      <w:pPr>
        <w:spacing w:after="200" w:before="0"/>
      </w:pPr>
      <w:r>
        <w:t xml:space="preserve"/>
      </w:r>
    </w:p>
    <w:p>
      <w:pPr>
        <w:spacing w:after="140" w:before="280"/>
      </w:pPr>
      <w:r>
        <w:rPr>
          <w:rFonts w:ascii="Arial" w:cs="Arial" w:eastAsia="Arial" w:hAnsi="Arial"/>
          <w:b/>
          <w:bCs/>
          <w:color w:val="0E5C3A"/>
          <w:sz w:val="24"/>
          <w:szCs w:val="24"/>
        </w:rPr>
        <w:t xml:space="preserve">1. MFA POLICY STATEMENT</w:t>
      </w:r>
    </w:p>
    <w:p>
      <w:pPr>
        <w:pBdr>
          <w:bottom w:val="single" w:color="0E5C3A" w:sz="8" w:space="1"/>
        </w:pBdr>
        <w:spacing w:after="120" w:before="0"/>
      </w:pPr>
      <w:r>
        <w:t xml:space="preserve"/>
      </w:r>
    </w:p>
    <w:p>
      <w:pPr>
        <w:spacing w:after="100" w:before="80"/>
      </w:pPr>
      <w:r>
        <w:rPr>
          <w:rFonts w:ascii="Arial" w:cs="Arial" w:eastAsia="Arial" w:hAnsi="Arial"/>
          <w:color w:val="1A1A1A"/>
          <w:sz w:val="20"/>
          <w:szCs w:val="20"/>
        </w:rPr>
        <w:t xml:space="preserve">DemoTech Enterprises (Pvt.) Ltd. mandates Multi-Factor Authentication (MFA) for all user and privileged account access to company information systems. MFA is defined as the verification of identity using two or more independent factors from the categories: something you know, something you have, and something you are.</w:t>
      </w:r>
    </w:p>
    <w:p>
      <w:pPr>
        <w:spacing w:after="80" w:before="0"/>
      </w:pPr>
      <w:r>
        <w:t xml:space="preserve"/>
      </w:r>
    </w:p>
    <w:p>
      <w:pPr>
        <w:spacing w:after="100" w:before="80"/>
      </w:pPr>
      <w:r>
        <w:rPr>
          <w:rFonts w:ascii="Arial" w:cs="Arial" w:eastAsia="Arial" w:hAnsi="Arial"/>
          <w:color w:val="1A1A1A"/>
          <w:sz w:val="20"/>
          <w:szCs w:val="20"/>
        </w:rPr>
        <w:t xml:space="preserve">Single-factor authentication (password only) is not permitted for any account with access to company data, systems, or infrastructure. This requirement applies to internal users, remote workers, contractors, and third-party vendors.</w:t>
      </w:r>
    </w:p>
    <w:p>
      <w:pPr>
        <w:spacing w:after="200" w:before="0"/>
      </w:pPr>
      <w:r>
        <w:t xml:space="preserve"/>
      </w:r>
    </w:p>
    <w:p>
      <w:pPr>
        <w:spacing w:after="140" w:before="280"/>
      </w:pPr>
      <w:r>
        <w:rPr>
          <w:rFonts w:ascii="Arial" w:cs="Arial" w:eastAsia="Arial" w:hAnsi="Arial"/>
          <w:b/>
          <w:bCs/>
          <w:color w:val="0E5C3A"/>
          <w:sz w:val="24"/>
          <w:szCs w:val="24"/>
        </w:rPr>
        <w:t xml:space="preserve">2. APPROVED MFA METHODS</w:t>
      </w:r>
    </w:p>
    <w:p>
      <w:pPr>
        <w:pBdr>
          <w:bottom w:val="single" w:color="0E5C3A"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2160"/>
        <w:gridCol w:w="2200"/>
      </w:tblGrid>
      <w:tr>
        <w:tc>
          <w:tcPr>
            <w:tcW w:type="dxa" w:w="20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MFA Method</w:t>
            </w:r>
          </w:p>
        </w:tc>
        <w:tc>
          <w:tcPr>
            <w:tcW w:type="dxa" w:w="16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Factor Type</w:t>
            </w:r>
          </w:p>
        </w:tc>
        <w:tc>
          <w:tcPr>
            <w:tcW w:type="dxa" w:w="14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Security Level</w:t>
            </w:r>
          </w:p>
        </w:tc>
        <w:tc>
          <w:tcPr>
            <w:tcW w:type="dxa" w:w="216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Approved For</w:t>
            </w:r>
          </w:p>
        </w:tc>
        <w:tc>
          <w:tcPr>
            <w:tcW w:type="dxa" w:w="22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Not Permitted For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FIDO2 / Passkey (Hardware Key)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You Have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All accounts — preferred for privileged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N/A — highest security</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Microsoft Authenticator (Passwordless)</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You Have + You Are</w:t>
            </w:r>
          </w:p>
        </w:tc>
        <w:tc>
          <w:tcPr>
            <w:tcW w:type="dxa" w:w="1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All accounts</w:t>
            </w:r>
          </w:p>
        </w:tc>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N/A — highly recommended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Microsoft Authenticator (Push Notification)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You Have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All standard users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C0392B"/>
                <w:sz w:val="18"/>
                <w:szCs w:val="18"/>
              </w:rPr>
              <w:t xml:space="preserve">High-privilege admin accounts (phishing risk)</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TOTP App (e.g. Google/MS Authenticator OTP)</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You Have</w:t>
            </w:r>
          </w:p>
        </w:tc>
        <w:tc>
          <w:tcPr>
            <w:tcW w:type="dxa" w:w="1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All standard users, vendor accounts</w:t>
            </w:r>
          </w:p>
        </w:tc>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N/A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Hardware OTP Token (RSA SecurID)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You Have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Privileged accounts, DR access, offline use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N/A</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Certificate-Based Auth (PKI Smart Card)</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You Have</w:t>
            </w:r>
          </w:p>
        </w:tc>
        <w:tc>
          <w:tcPr>
            <w:tcW w:type="dxa" w:w="1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Privileged access, system-to-system</w:t>
            </w:r>
          </w:p>
        </w:tc>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C0392B"/>
                <w:sz w:val="18"/>
                <w:szCs w:val="18"/>
              </w:rPr>
              <w:t xml:space="preserve">Interactive user sessions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SMS OTP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You Have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Legacy systems where TOTP not supported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C0392B"/>
                <w:sz w:val="18"/>
                <w:szCs w:val="18"/>
              </w:rPr>
              <w:t xml:space="preserve">All new implementations; privileged accounts</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Email OTP</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You Know / Have</w:t>
            </w:r>
          </w:p>
        </w:tc>
        <w:tc>
          <w:tcPr>
            <w:tcW w:type="dxa" w:w="1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Vendor self-service portals only</w:t>
            </w:r>
          </w:p>
        </w:tc>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C0392B"/>
                <w:sz w:val="18"/>
                <w:szCs w:val="18"/>
              </w:rPr>
              <w:t xml:space="preserve">Internal employees, privileged access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Biometric (Device-bound)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You Are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Mobile devices, Windows Hello for Business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C0392B"/>
                <w:sz w:val="18"/>
                <w:szCs w:val="18"/>
              </w:rPr>
              <w:t xml:space="preserve">Standalone without second factor</w:t>
            </w:r>
          </w:p>
        </w:tc>
      </w:tr>
    </w:tbl>
    <w:p>
      <w:pPr>
        <w:spacing w:after="200" w:before="0"/>
      </w:pPr>
      <w:r>
        <w:t xml:space="preserve"/>
      </w:r>
    </w:p>
    <w:p>
      <w:pPr>
        <w:spacing w:after="140" w:before="280"/>
      </w:pPr>
      <w:r>
        <w:rPr>
          <w:rFonts w:ascii="Arial" w:cs="Arial" w:eastAsia="Arial" w:hAnsi="Arial"/>
          <w:b/>
          <w:bCs/>
          <w:color w:val="0E5C3A"/>
          <w:sz w:val="24"/>
          <w:szCs w:val="24"/>
        </w:rPr>
        <w:t xml:space="preserve">3. MFA ENFORCEMENT CONFIGURATION — BY SYSTEM</w:t>
      </w:r>
    </w:p>
    <w:p>
      <w:pPr>
        <w:pBdr>
          <w:bottom w:val="single" w:color="0E5C3A" w:sz="8" w:space="1"/>
        </w:pBdr>
        <w:spacing w:after="12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360"/>
        <w:gridCol w:w="2400"/>
      </w:tblGrid>
      <w:tr>
        <w:tc>
          <w:tcPr>
            <w:tcW w:type="dxa" w:w="20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System / Application</w:t>
            </w:r>
          </w:p>
        </w:tc>
        <w:tc>
          <w:tcPr>
            <w:tcW w:type="dxa" w:w="18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MFA Method</w:t>
            </w:r>
          </w:p>
        </w:tc>
        <w:tc>
          <w:tcPr>
            <w:tcW w:type="dxa" w:w="18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Enforcement Mechanism</w:t>
            </w:r>
          </w:p>
        </w:tc>
        <w:tc>
          <w:tcPr>
            <w:tcW w:type="dxa" w:w="136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Coverage</w:t>
            </w:r>
          </w:p>
        </w:tc>
        <w:tc>
          <w:tcPr>
            <w:tcW w:type="dxa" w:w="24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Configuration Reference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Microsoft 365 / Entra 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Authenticator App (Push + Passwordless)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Entra ID Conditional Access Policy — CA-MFA-001</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6"/>
                <w:szCs w:val="16"/>
              </w:rPr>
              <w:t xml:space="preserve">Conditional Access: Require MFA for All Users</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Core Banking System (T24)</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TOTP + Password</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T24 Two-Factor Auth Module</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w:t>
            </w:r>
          </w:p>
        </w:tc>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6"/>
                <w:szCs w:val="16"/>
              </w:rPr>
              <w:t xml:space="preserve">T24 Security Config — 2FA-ENABLED = TRUE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Internet Banking Portal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SMS OTP + Password (legacy); TOTP preferred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Custom Auth Middleware</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6"/>
                <w:szCs w:val="16"/>
              </w:rPr>
              <w:t xml:space="preserve">Auth Gateway Config — MFA_REQUIRED = 1</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Azure Portal &amp; DevOps</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FIDO2 / Authenticator</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Entra ID CA — CA-MFA-PRIV-001</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 (Privileged)</w:t>
            </w:r>
          </w:p>
        </w:tc>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6"/>
                <w:szCs w:val="16"/>
              </w:rPr>
              <w:t xml:space="preserve">Privileged Access Policy — PIM + MFA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SAP ERP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TOTP via SAP Authenticator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SAP GRC Single Sign-On + MFA</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6"/>
                <w:szCs w:val="16"/>
              </w:rPr>
              <w:t xml:space="preserve">SAP SSO Config — MFA_METHOD = TOTP</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CyberArk PAM</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FIDO2 + Authenticator Push</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CyberArk PVWA — MFA Enforcement</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 (all PAM users)</w:t>
            </w:r>
          </w:p>
        </w:tc>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6"/>
                <w:szCs w:val="16"/>
              </w:rPr>
              <w:t xml:space="preserve">CyberArk Auth Policy — MFA-REQUIRED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HashiCorp Vault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OIDC + Entra ID MFA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Vault Auth Method — OIDC/Entra</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6"/>
                <w:szCs w:val="16"/>
              </w:rPr>
              <w:t xml:space="preserve">Vault Config — auth/oidc enforced</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Remote Access (VPN / GlobalProtect)</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RADIUS + TOTP / RSA Token</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Palo Alto GlobalProtect + RADIUS</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w:t>
            </w:r>
          </w:p>
        </w:tc>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6"/>
                <w:szCs w:val="16"/>
              </w:rPr>
              <w:t xml:space="preserve">GP Config — MFA_REQUIRED = YES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Microsoft Sentinel (SIEM)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Via Entra ID Conditional Access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Inherited from Entra ID CA</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6"/>
                <w:szCs w:val="16"/>
              </w:rPr>
              <w:t xml:space="preserve">CA-MFA-SEC-001 — Security Roles</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Physical Access (Biometric)</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Fingerprint + PIN</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Suprema Biometric Controller</w:t>
            </w:r>
          </w:p>
        </w:tc>
        <w:tc>
          <w:tcPr>
            <w:tcW w:type="dxa" w:w="13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 (secure zones)</w:t>
            </w:r>
          </w:p>
        </w:tc>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6"/>
                <w:szCs w:val="16"/>
              </w:rPr>
              <w:t xml:space="preserve">Suprema Config — DUAL_AUTH = ENABLED</w:t>
            </w:r>
          </w:p>
        </w:tc>
      </w:tr>
    </w:tbl>
    <w:p>
      <w:pPr>
        <w:spacing w:after="200" w:before="0"/>
      </w:pPr>
      <w:r>
        <w:t xml:space="preserve"/>
      </w:r>
    </w:p>
    <w:p>
      <w:pPr>
        <w:spacing w:after="140" w:before="280"/>
      </w:pPr>
      <w:r>
        <w:rPr>
          <w:rFonts w:ascii="Arial" w:cs="Arial" w:eastAsia="Arial" w:hAnsi="Arial"/>
          <w:b/>
          <w:bCs/>
          <w:color w:val="0E5C3A"/>
          <w:sz w:val="24"/>
          <w:szCs w:val="24"/>
        </w:rPr>
        <w:t xml:space="preserve">4. MFA ENROLMENT RECORDS — SUMMARY</w:t>
      </w:r>
    </w:p>
    <w:p>
      <w:pPr>
        <w:pBdr>
          <w:bottom w:val="single" w:color="0E5C3A"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80"/>
        <w:gridCol w:w="1880"/>
      </w:tblGrid>
      <w:tr>
        <w:tc>
          <w:tcPr>
            <w:tcW w:type="dxa" w:w="26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User Category</w:t>
            </w:r>
          </w:p>
        </w:tc>
        <w:tc>
          <w:tcPr>
            <w:tcW w:type="dxa" w:w="16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Total Accounts</w:t>
            </w:r>
          </w:p>
        </w:tc>
        <w:tc>
          <w:tcPr>
            <w:tcW w:type="dxa" w:w="16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MFA Enrolled</w:t>
            </w:r>
          </w:p>
        </w:tc>
        <w:tc>
          <w:tcPr>
            <w:tcW w:type="dxa" w:w="168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Enrolment Rate</w:t>
            </w:r>
          </w:p>
        </w:tc>
        <w:tc>
          <w:tcPr>
            <w:tcW w:type="dxa" w:w="188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Primary MFA Method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Standard Employees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1A1A1A"/>
                <w:sz w:val="18"/>
                <w:szCs w:val="18"/>
              </w:rPr>
              <w:t xml:space="preserve">312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1A8C3A"/>
                <w:sz w:val="18"/>
                <w:szCs w:val="18"/>
              </w:rPr>
              <w:t xml:space="preserve">312</w:t>
            </w:r>
          </w:p>
        </w:tc>
        <w:tc>
          <w:tcPr>
            <w:tcW w:type="dxa" w:w="168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MS Authenticator App</w:t>
            </w:r>
          </w:p>
        </w:tc>
      </w:tr>
      <w:tr>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Privileged / Admin Users</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center"/>
            </w:pPr>
            <w:r>
              <w:rPr>
                <w:rFonts w:ascii="Arial" w:cs="Arial" w:eastAsia="Arial" w:hAnsi="Arial"/>
                <w:b/>
                <w:bCs/>
                <w:color w:val="1A1A1A"/>
                <w:sz w:val="18"/>
                <w:szCs w:val="18"/>
              </w:rPr>
              <w:t xml:space="preserve">24</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center"/>
            </w:pPr>
            <w:r>
              <w:rPr>
                <w:rFonts w:ascii="Arial" w:cs="Arial" w:eastAsia="Arial" w:hAnsi="Arial"/>
                <w:b/>
                <w:bCs/>
                <w:color w:val="1A8C3A"/>
                <w:sz w:val="18"/>
                <w:szCs w:val="18"/>
              </w:rPr>
              <w:t xml:space="preserve">24</w:t>
            </w:r>
          </w:p>
        </w:tc>
        <w:tc>
          <w:tcPr>
            <w:tcW w:type="dxa" w:w="168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w:t>
            </w:r>
          </w:p>
        </w:tc>
        <w:tc>
          <w:tcPr>
            <w:tcW w:type="dxa" w:w="188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FIDO2 Hardware Key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Contractors &amp; Vendors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1A1A1A"/>
                <w:sz w:val="18"/>
                <w:szCs w:val="18"/>
              </w:rPr>
              <w:t xml:space="preserve">47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1A8C3A"/>
                <w:sz w:val="18"/>
                <w:szCs w:val="18"/>
              </w:rPr>
              <w:t xml:space="preserve">47</w:t>
            </w:r>
          </w:p>
        </w:tc>
        <w:tc>
          <w:tcPr>
            <w:tcW w:type="dxa" w:w="168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TOTP App</w:t>
            </w:r>
          </w:p>
        </w:tc>
      </w:tr>
      <w:tr>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Service Accounts (Human)</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center"/>
            </w:pPr>
            <w:r>
              <w:rPr>
                <w:rFonts w:ascii="Arial" w:cs="Arial" w:eastAsia="Arial" w:hAnsi="Arial"/>
                <w:b/>
                <w:bCs/>
                <w:color w:val="1A1A1A"/>
                <w:sz w:val="18"/>
                <w:szCs w:val="18"/>
              </w:rPr>
              <w:t xml:space="preserve">8</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center"/>
            </w:pPr>
            <w:r>
              <w:rPr>
                <w:rFonts w:ascii="Arial" w:cs="Arial" w:eastAsia="Arial" w:hAnsi="Arial"/>
                <w:b/>
                <w:bCs/>
                <w:color w:val="1A8C3A"/>
                <w:sz w:val="18"/>
                <w:szCs w:val="18"/>
              </w:rPr>
              <w:t xml:space="preserve">8</w:t>
            </w:r>
          </w:p>
        </w:tc>
        <w:tc>
          <w:tcPr>
            <w:tcW w:type="dxa" w:w="168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w:t>
            </w:r>
          </w:p>
        </w:tc>
        <w:tc>
          <w:tcPr>
            <w:tcW w:type="dxa" w:w="188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Certificate-Based Auth</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Executive / C-Suite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1A1A1A"/>
                <w:sz w:val="18"/>
                <w:szCs w:val="18"/>
              </w:rPr>
              <w:t xml:space="preserve">12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1A8C3A"/>
                <w:sz w:val="18"/>
                <w:szCs w:val="18"/>
              </w:rPr>
              <w:t xml:space="preserve">12</w:t>
            </w:r>
          </w:p>
        </w:tc>
        <w:tc>
          <w:tcPr>
            <w:tcW w:type="dxa" w:w="168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w:t>
            </w:r>
          </w:p>
        </w:tc>
        <w:tc>
          <w:tcPr>
            <w:tcW w:type="dxa" w:w="188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FIDO2 + Authenticator</w:t>
            </w:r>
          </w:p>
        </w:tc>
      </w:tr>
      <w:tr>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Remote / Work-from-Home Users</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center"/>
            </w:pPr>
            <w:r>
              <w:rPr>
                <w:rFonts w:ascii="Arial" w:cs="Arial" w:eastAsia="Arial" w:hAnsi="Arial"/>
                <w:b/>
                <w:bCs/>
                <w:color w:val="1A1A1A"/>
                <w:sz w:val="18"/>
                <w:szCs w:val="18"/>
              </w:rPr>
              <w:t xml:space="preserve">86</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center"/>
            </w:pPr>
            <w:r>
              <w:rPr>
                <w:rFonts w:ascii="Arial" w:cs="Arial" w:eastAsia="Arial" w:hAnsi="Arial"/>
                <w:b/>
                <w:bCs/>
                <w:color w:val="1A8C3A"/>
                <w:sz w:val="18"/>
                <w:szCs w:val="18"/>
              </w:rPr>
              <w:t xml:space="preserve">86</w:t>
            </w:r>
          </w:p>
        </w:tc>
        <w:tc>
          <w:tcPr>
            <w:tcW w:type="dxa" w:w="168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w:t>
            </w:r>
          </w:p>
        </w:tc>
        <w:tc>
          <w:tcPr>
            <w:tcW w:type="dxa" w:w="188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Authenticator Push + VPN MFA</w:t>
            </w:r>
          </w:p>
        </w:tc>
      </w:tr>
      <w:tr>
        <w:tc>
          <w:tcPr>
            <w:tcW w:type="dxa" w:w="2600"/>
            <w:tcBorders>
              <w:top w:val="single" w:color="CCCCCC" w:sz="4"/>
              <w:left w:val="single" w:color="CCCCCC" w:sz="4"/>
              <w:bottom w:val="single" w:color="CCCCCC" w:sz="4"/>
              <w:right w:val="single" w:color="CCCCCC" w:sz="4"/>
            </w:tcBorders>
            <w:shd w:fill="D0F0E4"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TOTAL</w:t>
            </w:r>
          </w:p>
        </w:tc>
        <w:tc>
          <w:tcPr>
            <w:tcW w:type="dxa" w:w="1600"/>
            <w:tcBorders>
              <w:top w:val="single" w:color="CCCCCC" w:sz="4"/>
              <w:left w:val="single" w:color="CCCCCC" w:sz="4"/>
              <w:bottom w:val="single" w:color="CCCCCC" w:sz="4"/>
              <w:right w:val="single" w:color="CCCCCC" w:sz="4"/>
            </w:tcBorders>
            <w:shd w:fill="D0F0E4" w:val="clear"/>
            <w:tcMar>
              <w:top w:type="dxa" w:w="80"/>
              <w:left w:type="dxa" w:w="130"/>
              <w:bottom w:type="dxa" w:w="80"/>
              <w:right w:type="dxa" w:w="130"/>
            </w:tcMar>
            <w:vAlign w:val="center"/>
          </w:tcPr>
          <w:p>
            <w:pPr>
              <w:jc w:val="center"/>
            </w:pPr>
            <w:r>
              <w:rPr>
                <w:rFonts w:ascii="Arial" w:cs="Arial" w:eastAsia="Arial" w:hAnsi="Arial"/>
                <w:b/>
                <w:bCs/>
                <w:color w:val="0E5C3A"/>
                <w:sz w:val="18"/>
                <w:szCs w:val="18"/>
              </w:rPr>
              <w:t xml:space="preserve">403</w:t>
            </w:r>
          </w:p>
        </w:tc>
        <w:tc>
          <w:tcPr>
            <w:tcW w:type="dxa" w:w="1600"/>
            <w:tcBorders>
              <w:top w:val="single" w:color="CCCCCC" w:sz="4"/>
              <w:left w:val="single" w:color="CCCCCC" w:sz="4"/>
              <w:bottom w:val="single" w:color="CCCCCC" w:sz="4"/>
              <w:right w:val="single" w:color="CCCCCC" w:sz="4"/>
            </w:tcBorders>
            <w:shd w:fill="D0F0E4" w:val="clear"/>
            <w:tcMar>
              <w:top w:type="dxa" w:w="80"/>
              <w:left w:type="dxa" w:w="130"/>
              <w:bottom w:type="dxa" w:w="80"/>
              <w:right w:type="dxa" w:w="130"/>
            </w:tcMar>
            <w:vAlign w:val="center"/>
          </w:tcPr>
          <w:p>
            <w:pPr>
              <w:jc w:val="center"/>
            </w:pPr>
            <w:r>
              <w:rPr>
                <w:rFonts w:ascii="Arial" w:cs="Arial" w:eastAsia="Arial" w:hAnsi="Arial"/>
                <w:b/>
                <w:bCs/>
                <w:color w:val="1A8C3A"/>
                <w:sz w:val="18"/>
                <w:szCs w:val="18"/>
              </w:rPr>
              <w:t xml:space="preserve">403</w:t>
            </w:r>
          </w:p>
        </w:tc>
        <w:tc>
          <w:tcPr>
            <w:tcW w:type="dxa" w:w="168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100%</w:t>
            </w:r>
          </w:p>
        </w:tc>
        <w:tc>
          <w:tcPr>
            <w:tcW w:type="dxa" w:w="1880"/>
            <w:tcBorders>
              <w:top w:val="single" w:color="CCCCCC" w:sz="4"/>
              <w:left w:val="single" w:color="CCCCCC" w:sz="4"/>
              <w:bottom w:val="single" w:color="CCCCCC" w:sz="4"/>
              <w:right w:val="single" w:color="CCCCCC" w:sz="4"/>
            </w:tcBorders>
            <w:shd w:fill="D0F0E4"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Mixed (see above)</w:t>
            </w:r>
          </w:p>
        </w:tc>
      </w:tr>
    </w:tbl>
    <w:p>
      <w:pPr>
        <w:spacing w:after="80" w:before="0"/>
      </w:pPr>
      <w:r>
        <w:t xml:space="preserve"/>
      </w:r>
    </w:p>
    <w:p>
      <w:pPr>
        <w:spacing w:after="100" w:before="80"/>
      </w:pPr>
      <w:r>
        <w:rPr>
          <w:rFonts w:ascii="Arial" w:cs="Arial" w:eastAsia="Arial" w:hAnsi="Arial"/>
          <w:color w:val="555555"/>
          <w:sz w:val="20"/>
          <w:szCs w:val="20"/>
        </w:rPr>
        <w:t xml:space="preserve">Enrolment data as at March 28, 2025. Source: Entra ID — Authentication Methods Report + CyberArk enrolment log. Accounts without MFA enrolment are technically blocked from system access via Conditional Access policy CA-MFA-001.</w:t>
      </w:r>
    </w:p>
    <w:p>
      <w:pPr>
        <w:spacing w:after="200" w:before="0"/>
      </w:pPr>
      <w:r>
        <w:t xml:space="preserve"/>
      </w:r>
    </w:p>
    <w:p>
      <w:pPr>
        <w:spacing w:after="140" w:before="280"/>
      </w:pPr>
      <w:r>
        <w:rPr>
          <w:rFonts w:ascii="Arial" w:cs="Arial" w:eastAsia="Arial" w:hAnsi="Arial"/>
          <w:b/>
          <w:bCs/>
          <w:color w:val="0E5C3A"/>
          <w:sz w:val="24"/>
          <w:szCs w:val="24"/>
        </w:rPr>
        <w:t xml:space="preserve">5. CONDITIONAL ACCESS POLICY RECORDS</w:t>
      </w:r>
    </w:p>
    <w:p>
      <w:pPr>
        <w:pBdr>
          <w:bottom w:val="single" w:color="0E5C3A" w:sz="8" w:space="1"/>
        </w:pBdr>
        <w:spacing w:after="120" w:before="0"/>
      </w:pPr>
      <w:r>
        <w:t xml:space="preserve"/>
      </w:r>
    </w:p>
    <w:p>
      <w:pPr>
        <w:spacing w:after="100" w:before="80"/>
      </w:pPr>
      <w:r>
        <w:rPr>
          <w:rFonts w:ascii="Arial" w:cs="Arial" w:eastAsia="Arial" w:hAnsi="Arial"/>
          <w:color w:val="1A1A1A"/>
          <w:sz w:val="20"/>
          <w:szCs w:val="20"/>
        </w:rPr>
        <w:t xml:space="preserve">The following Entra ID Conditional Access policies enforce MFA requirements across all systems: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1560"/>
        <w:gridCol w:w="1800"/>
      </w:tblGrid>
      <w:tr>
        <w:tc>
          <w:tcPr>
            <w:tcW w:type="dxa" w:w="16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Policy ID</w:t>
            </w:r>
          </w:p>
        </w:tc>
        <w:tc>
          <w:tcPr>
            <w:tcW w:type="dxa" w:w="20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Policy Name</w:t>
            </w:r>
          </w:p>
        </w:tc>
        <w:tc>
          <w:tcPr>
            <w:tcW w:type="dxa" w:w="24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Conditions</w:t>
            </w:r>
          </w:p>
        </w:tc>
        <w:tc>
          <w:tcPr>
            <w:tcW w:type="dxa" w:w="156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MFA Requirement</w:t>
            </w:r>
          </w:p>
        </w:tc>
        <w:tc>
          <w:tcPr>
            <w:tcW w:type="dxa" w:w="18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Status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CA-MFA-001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Require MFA — All Users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All users, all cloud apps, all locations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Always required</w:t>
            </w:r>
          </w:p>
        </w:tc>
        <w:tc>
          <w:tcPr>
            <w:tcW w:type="dxa" w:w="18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Enabled</w:t>
            </w:r>
          </w:p>
        </w:tc>
      </w:tr>
      <w:tr>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CA-MFA-PRIV-001</w:t>
            </w:r>
          </w:p>
        </w:tc>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Require FIDO2 — Privileged Users</w:t>
            </w:r>
          </w:p>
        </w:tc>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Members of Admin roles group, Azure Portal, DevOps</w:t>
            </w:r>
          </w:p>
        </w:tc>
        <w:tc>
          <w:tcPr>
            <w:tcW w:type="dxa" w:w="15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FIDO2 or Authenticator Passwordless only</w:t>
            </w:r>
          </w:p>
        </w:tc>
        <w:tc>
          <w:tcPr>
            <w:tcW w:type="dxa" w:w="18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Enabled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CA-MFA-EXT-001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Require MFA — External Users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Guest accounts, vendor users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Always required</w:t>
            </w:r>
          </w:p>
        </w:tc>
        <w:tc>
          <w:tcPr>
            <w:tcW w:type="dxa" w:w="18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Enabled</w:t>
            </w:r>
          </w:p>
        </w:tc>
      </w:tr>
      <w:tr>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CA-MFA-RISK-001</w:t>
            </w:r>
          </w:p>
        </w:tc>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Step-Up MFA — High Risk Sign-in</w:t>
            </w:r>
          </w:p>
        </w:tc>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Risk level: High (Entra ID Protection)</w:t>
            </w:r>
          </w:p>
        </w:tc>
        <w:tc>
          <w:tcPr>
            <w:tcW w:type="dxa" w:w="15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MFA + Password Change required</w:t>
            </w:r>
          </w:p>
        </w:tc>
        <w:tc>
          <w:tcPr>
            <w:tcW w:type="dxa" w:w="18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Enabled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CA-MFA-LOC-001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Block Legacy Auth Protocols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All users, legacy auth clients (SMTP, POP, IMAP)</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Block (no MFA capable)</w:t>
            </w:r>
          </w:p>
        </w:tc>
        <w:tc>
          <w:tcPr>
            <w:tcW w:type="dxa" w:w="18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Enabled</w:t>
            </w:r>
          </w:p>
        </w:tc>
      </w:tr>
      <w:tr>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CA-MFA-DEV-001</w:t>
            </w:r>
          </w:p>
        </w:tc>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Require Compliant Device + MFA</w:t>
            </w:r>
          </w:p>
        </w:tc>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All users accessing corporate data</w:t>
            </w:r>
          </w:p>
        </w:tc>
        <w:tc>
          <w:tcPr>
            <w:tcW w:type="dxa" w:w="15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MFA + Intune compliant device</w:t>
            </w:r>
          </w:p>
        </w:tc>
        <w:tc>
          <w:tcPr>
            <w:tcW w:type="dxa" w:w="18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Enabled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CA-MFA-VPN-001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Require MFA at VPN Login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VPN authentication (GlobalProtect)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5C3A"/>
                <w:sz w:val="18"/>
                <w:szCs w:val="18"/>
              </w:rPr>
              <w:t xml:space="preserve">RADIUS + TOTP / RSA Token</w:t>
            </w:r>
          </w:p>
        </w:tc>
        <w:tc>
          <w:tcPr>
            <w:tcW w:type="dxa" w:w="18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Enabled</w:t>
            </w:r>
          </w:p>
        </w:tc>
      </w:tr>
    </w:tbl>
    <w:p>
      <w:pPr>
        <w:spacing w:after="200" w:before="0"/>
      </w:pPr>
      <w:r>
        <w:t xml:space="preserve"/>
      </w:r>
    </w:p>
    <w:p>
      <w:pPr>
        <w:spacing w:after="140" w:before="280"/>
      </w:pPr>
      <w:r>
        <w:rPr>
          <w:rFonts w:ascii="Arial" w:cs="Arial" w:eastAsia="Arial" w:hAnsi="Arial"/>
          <w:b/>
          <w:bCs/>
          <w:color w:val="0E5C3A"/>
          <w:sz w:val="24"/>
          <w:szCs w:val="24"/>
        </w:rPr>
        <w:t xml:space="preserve">6. MFA EXCEPTIONS REGISTER</w:t>
      </w:r>
    </w:p>
    <w:p>
      <w:pPr>
        <w:pBdr>
          <w:bottom w:val="single" w:color="0E5C3A" w:sz="8" w:space="1"/>
        </w:pBdr>
        <w:spacing w:after="120" w:before="0"/>
      </w:pPr>
      <w:r>
        <w:t xml:space="preserve"/>
      </w:r>
    </w:p>
    <w:p>
      <w:pPr>
        <w:spacing w:after="100" w:before="80"/>
      </w:pPr>
      <w:r>
        <w:rPr>
          <w:rFonts w:ascii="Arial" w:cs="Arial" w:eastAsia="Arial" w:hAnsi="Arial"/>
          <w:color w:val="1A1A1A"/>
          <w:sz w:val="20"/>
          <w:szCs w:val="20"/>
        </w:rPr>
        <w:t xml:space="preserve">The following accounts have been granted a documented MFA exception. All exceptions require CISO approval and are reviewed quarterly: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1560"/>
        <w:gridCol w:w="1400"/>
      </w:tblGrid>
      <w:tr>
        <w:tc>
          <w:tcPr>
            <w:tcW w:type="dxa" w:w="18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Account</w:t>
            </w:r>
          </w:p>
        </w:tc>
        <w:tc>
          <w:tcPr>
            <w:tcW w:type="dxa" w:w="20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Exception Type</w:t>
            </w:r>
          </w:p>
        </w:tc>
        <w:tc>
          <w:tcPr>
            <w:tcW w:type="dxa" w:w="26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Justification &amp; Compensating Control</w:t>
            </w:r>
          </w:p>
        </w:tc>
        <w:tc>
          <w:tcPr>
            <w:tcW w:type="dxa" w:w="156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Approved By</w:t>
            </w:r>
          </w:p>
        </w:tc>
        <w:tc>
          <w:tcPr>
            <w:tcW w:type="dxa" w:w="14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Expiry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SVC-BATCH-001 (Service Account)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D4860A"/>
                <w:sz w:val="18"/>
                <w:szCs w:val="18"/>
              </w:rPr>
              <w:t xml:space="preserve">No MFA (non-interactive)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Batch processing account — no human login. Managed in HashiCorp Vault; certificate-based auth; IP-restricted; monitored in SIEM.</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CISO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4860A"/>
                <w:sz w:val="18"/>
                <w:szCs w:val="18"/>
              </w:rPr>
              <w:t xml:space="preserve">Ongoing — quarterly review</w:t>
            </w:r>
          </w:p>
        </w:tc>
      </w:tr>
      <w:tr>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BRKGLASS-ADM-01 (Break-Glass)</w:t>
            </w:r>
          </w:p>
        </w:tc>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D4860A"/>
                <w:sz w:val="18"/>
                <w:szCs w:val="18"/>
              </w:rPr>
              <w:t xml:space="preserve">MFA bypass in defined emergency only</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Emergency use only; break-glass procedure requires dual custodian physical access + CISO notification; all use triggers P1 alert.</w:t>
            </w:r>
          </w:p>
        </w:tc>
        <w:tc>
          <w:tcPr>
            <w:tcW w:type="dxa" w:w="15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CISO + CEO</w:t>
            </w:r>
          </w:p>
        </w:tc>
        <w:tc>
          <w:tcPr>
            <w:tcW w:type="dxa" w:w="1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D4860A"/>
                <w:sz w:val="18"/>
                <w:szCs w:val="18"/>
              </w:rPr>
              <w:t xml:space="preserve">Ongoing — semi-annual review</w:t>
            </w:r>
          </w:p>
        </w:tc>
      </w:tr>
    </w:tbl>
    <w:p>
      <w:pPr>
        <w:spacing w:after="200" w:before="0"/>
      </w:pPr>
      <w:r>
        <w:t xml:space="preserve"/>
      </w:r>
    </w:p>
    <w:p>
      <w:pPr>
        <w:spacing w:after="140" w:before="280"/>
      </w:pPr>
      <w:r>
        <w:rPr>
          <w:rFonts w:ascii="Arial" w:cs="Arial" w:eastAsia="Arial" w:hAnsi="Arial"/>
          <w:b/>
          <w:bCs/>
          <w:color w:val="0E5C3A"/>
          <w:sz w:val="24"/>
          <w:szCs w:val="24"/>
        </w:rPr>
        <w:t xml:space="preserve">7. MFA INCIDENT &amp; BYPASS MONITORING</w:t>
      </w:r>
    </w:p>
    <w:p>
      <w:pPr>
        <w:pBdr>
          <w:bottom w:val="single" w:color="0E5C3A"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Monitoring Control</w:t>
            </w:r>
          </w:p>
        </w:tc>
        <w:tc>
          <w:tcPr>
            <w:tcW w:type="dxa" w:w="416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Description</w:t>
            </w:r>
          </w:p>
        </w:tc>
        <w:tc>
          <w:tcPr>
            <w:tcW w:type="dxa" w:w="26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SIEM Rule ID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MFA Fatigue Attack Detection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Alert on 10+ push notifications to same user within 1 hour. Account auto-locked; user notified.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AUTH-MFA-FATIGUE-001</w:t>
            </w:r>
          </w:p>
        </w:tc>
      </w:tr>
      <w:tr>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MFA Bypass Attempt</w:t>
            </w:r>
          </w:p>
        </w:tc>
        <w:tc>
          <w:tcPr>
            <w:tcW w:type="dxa" w:w="4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Alert on any Conditional Access policy bypass or step-down authentication event.</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AUTH-MFA-BYPASS-001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Legacy Protocol Auth Attempt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Alert on any authentication attempt using legacy protocols (SMTP, POP, IMAP, NTLM).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AUTH-LEGACY-001</w:t>
            </w:r>
          </w:p>
        </w:tc>
      </w:tr>
      <w:tr>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MFA Registration Change</w:t>
            </w:r>
          </w:p>
        </w:tc>
        <w:tc>
          <w:tcPr>
            <w:tcW w:type="dxa" w:w="4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Alert when a user registers a new MFA method or removes an existing one.</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AUTH-MFA-CHANGE-001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Admin MFA Disable Attempt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Alert on any attempt to disable MFA for any account; immediate CISO notification.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AUTH-MFA-ADMIN-001</w:t>
            </w:r>
          </w:p>
        </w:tc>
      </w:tr>
      <w:tr>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Geo-Impossible MFA Challenge</w:t>
            </w:r>
          </w:p>
        </w:tc>
        <w:tc>
          <w:tcPr>
            <w:tcW w:type="dxa" w:w="4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Alert on MFA challenge from location incompatible with previous authentication location.</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AUTH-GEO-001</w:t>
            </w:r>
          </w:p>
        </w:tc>
      </w:tr>
    </w:tbl>
    <w:p>
      <w:pPr>
        <w:spacing w:after="200" w:before="0"/>
      </w:pPr>
      <w:r>
        <w:t xml:space="preserve"/>
      </w:r>
    </w:p>
    <w:p>
      <w:pPr>
        <w:spacing w:after="140" w:before="280"/>
      </w:pPr>
      <w:r>
        <w:rPr>
          <w:rFonts w:ascii="Arial" w:cs="Arial" w:eastAsia="Arial" w:hAnsi="Arial"/>
          <w:b/>
          <w:bCs/>
          <w:color w:val="0E5C3A"/>
          <w:sz w:val="24"/>
          <w:szCs w:val="24"/>
        </w:rPr>
        <w:t xml:space="preserve">8. MFA IMPLEMENTATION TIMELINE</w:t>
      </w:r>
    </w:p>
    <w:p>
      <w:pPr>
        <w:pBdr>
          <w:bottom w:val="single" w:color="0E5C3A"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800"/>
      </w:tblGrid>
      <w:tr>
        <w:tc>
          <w:tcPr>
            <w:tcW w:type="dxa" w:w="18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Date</w:t>
            </w:r>
          </w:p>
        </w:tc>
        <w:tc>
          <w:tcPr>
            <w:tcW w:type="dxa" w:w="24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Milestone</w:t>
            </w:r>
          </w:p>
        </w:tc>
        <w:tc>
          <w:tcPr>
            <w:tcW w:type="dxa" w:w="336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Details</w:t>
            </w:r>
          </w:p>
        </w:tc>
        <w:tc>
          <w:tcPr>
            <w:tcW w:type="dxa" w:w="1800"/>
            <w:tcBorders>
              <w:top w:val="single" w:color="0E5C3A" w:sz="6"/>
              <w:left w:val="single" w:color="0E5C3A" w:sz="6"/>
              <w:bottom w:val="single" w:color="0E5C3A" w:sz="6"/>
              <w:right w:val="single" w:color="0E5C3A" w:sz="6"/>
            </w:tcBorders>
            <w:shd w:fill="0E5C3A"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Evidence Ref</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Jan 2022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MFA Policy Approved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Board-approved MFA mandate for all employees issued.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D1A6B"/>
                <w:sz w:val="16"/>
                <w:szCs w:val="16"/>
              </w:rPr>
              <w:t xml:space="preserve">CV-POL-AUTH-2022</w:t>
            </w:r>
          </w:p>
        </w:tc>
      </w:tr>
      <w:tr>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Mar 2022</w:t>
            </w:r>
          </w:p>
        </w:tc>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Entra ID MFA Rollout — Phase 1</w:t>
            </w:r>
          </w:p>
        </w:tc>
        <w:tc>
          <w:tcPr>
            <w:tcW w:type="dxa" w:w="33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Executive and IT teams enrolled (52 accounts). Authenticator App deployed.</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3D1A6B"/>
                <w:sz w:val="16"/>
                <w:szCs w:val="16"/>
              </w:rPr>
              <w:t xml:space="preserve">CA-MFA-001 Activated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Jun 2022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Entra ID MFA Rollout — Phase 2</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All remaining employees enrolled. Conditional Access policies activated.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D1A6B"/>
                <w:sz w:val="16"/>
                <w:szCs w:val="16"/>
              </w:rPr>
              <w:t xml:space="preserve">CA-MFA-001 Full</w:t>
            </w:r>
          </w:p>
        </w:tc>
      </w:tr>
      <w:tr>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Sep 2022</w:t>
            </w:r>
          </w:p>
        </w:tc>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VPN MFA Integration</w:t>
            </w:r>
          </w:p>
        </w:tc>
        <w:tc>
          <w:tcPr>
            <w:tcW w:type="dxa" w:w="33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GlobalProtect + RADIUS MFA enforcement activated for remote access.</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3D1A6B"/>
                <w:sz w:val="16"/>
                <w:szCs w:val="16"/>
              </w:rPr>
              <w:t xml:space="preserve">CA-MFA-VPN-001</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Jan 2023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Privileged Account FIDO2 Rollout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FIDO2 hardware keys deployed to 24 privileged users. Legacy MFA methods retired for admins.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D1A6B"/>
                <w:sz w:val="16"/>
                <w:szCs w:val="16"/>
              </w:rPr>
              <w:t xml:space="preserve">CA-MFA-PRIV-001</w:t>
            </w:r>
          </w:p>
        </w:tc>
      </w:tr>
      <w:tr>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Jun 2023</w:t>
            </w:r>
          </w:p>
        </w:tc>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CyberArk PAM MFA Integration</w:t>
            </w:r>
          </w:p>
        </w:tc>
        <w:tc>
          <w:tcPr>
            <w:tcW w:type="dxa" w:w="33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PAM vault MFA enforcement activated. Break-glass exceptions documented.</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3D1A6B"/>
                <w:sz w:val="16"/>
                <w:szCs w:val="16"/>
              </w:rPr>
              <w:t xml:space="preserve">CyberArk Auth Policy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Jan 2024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Contractor &amp; Vendor MFA Mandate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All external users required to enrol MFA. 47 vendor accounts enrolled.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3D1A6B"/>
                <w:sz w:val="16"/>
                <w:szCs w:val="16"/>
              </w:rPr>
              <w:t xml:space="preserve">CA-MFA-EXT-001</w:t>
            </w:r>
          </w:p>
        </w:tc>
      </w:tr>
      <w:tr>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0E5C3A"/>
                <w:sz w:val="18"/>
                <w:szCs w:val="18"/>
              </w:rPr>
              <w:t xml:space="preserve">Mar 2025</w:t>
            </w:r>
          </w:p>
        </w:tc>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Annual MFA Audit Completed</w:t>
            </w:r>
          </w:p>
        </w:tc>
        <w:tc>
          <w:tcPr>
            <w:tcW w:type="dxa" w:w="33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100% enrolment confirmed. FIDO2 coverage for privileged accounts verified. This document produced.</w:t>
            </w:r>
          </w:p>
        </w:tc>
        <w:tc>
          <w:tcPr>
            <w:tcW w:type="dxa" w:w="1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3D1A6B"/>
                <w:sz w:val="16"/>
                <w:szCs w:val="16"/>
              </w:rPr>
              <w:t xml:space="preserve">CV-AUTH-MFA-003</w:t>
            </w:r>
          </w:p>
        </w:tc>
      </w:tr>
    </w:tbl>
    <w:p>
      <w:pPr>
        <w:spacing w:after="200" w:before="0"/>
      </w:pPr>
      <w:r>
        <w:t xml:space="preserve"/>
      </w:r>
    </w:p>
    <w:p>
      <w:pPr>
        <w:spacing w:after="140" w:before="280"/>
      </w:pPr>
      <w:r>
        <w:rPr>
          <w:rFonts w:ascii="Arial" w:cs="Arial" w:eastAsia="Arial" w:hAnsi="Arial"/>
          <w:b/>
          <w:bCs/>
          <w:color w:val="0E5C3A"/>
          <w:sz w:val="24"/>
          <w:szCs w:val="24"/>
        </w:rPr>
        <w:t xml:space="preserve">9. CERTIFICATION &amp; APPROVAL</w:t>
      </w:r>
    </w:p>
    <w:p>
      <w:pPr>
        <w:pBdr>
          <w:bottom w:val="single" w:color="0E5C3A" w:sz="8" w:space="1"/>
        </w:pBdr>
        <w:spacing w:after="120" w:before="0"/>
      </w:pPr>
      <w:r>
        <w:t xml:space="preserve"/>
      </w:r>
    </w:p>
    <w:p>
      <w:pPr>
        <w:spacing w:after="100" w:before="80"/>
      </w:pPr>
      <w:r>
        <w:rPr>
          <w:rFonts w:ascii="Arial" w:cs="Arial" w:eastAsia="Arial" w:hAnsi="Arial"/>
          <w:color w:val="1A1A1A"/>
          <w:sz w:val="20"/>
          <w:szCs w:val="20"/>
        </w:rPr>
        <w:t xml:space="preserve">I, the undersigned Chief Information Security Officer, certify that Multi-Factor Authentication has been implemented and is enforced for 100% of in-scope accounts as of the effective date of this document, and that the implementation records contained herein are accurate and complete.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F0E4" w:sz="6"/>
              <w:left w:val="single" w:color="D0F0E4" w:sz="6"/>
              <w:bottom w:val="single" w:color="D0F0E4" w:sz="6"/>
              <w:right w:val="single" w:color="D0F0E4" w:sz="6"/>
            </w:tcBorders>
            <w:tcMar>
              <w:top w:type="dxa" w:w="160"/>
              <w:left w:type="dxa" w:w="180"/>
              <w:bottom w:type="dxa" w:w="200"/>
              <w:right w:type="dxa" w:w="180"/>
            </w:tcMar>
          </w:tcPr>
          <w:p>
            <w:r>
              <w:rPr>
                <w:rFonts w:ascii="Arial" w:cs="Arial" w:eastAsia="Arial" w:hAnsi="Arial"/>
                <w:b/>
                <w:bCs/>
                <w:color w:val="0E5C3A"/>
                <w:sz w:val="17"/>
                <w:szCs w:val="17"/>
              </w:rPr>
              <w:t xml:space="preserve">Chief Information Security Officer</w:t>
            </w:r>
          </w:p>
          <w:p>
            <w:pPr>
              <w:pBdr>
                <w:bottom w:val="single" w:color="999999" w:sz="4" w:space="1"/>
              </w:pBdr>
              <w:spacing w:after="80" w:before="460"/>
            </w:pPr>
            <w:r>
              <w:rPr>
                <w:rFonts w:ascii="Arial" w:cs="Arial" w:eastAsia="Arial" w:hAnsi="Arial"/>
                <w:color w:val="555555"/>
                <w:sz w:val="17"/>
                <w:szCs w:val="17"/>
              </w:rPr>
              <w:t xml:space="preserve">Mr. Imran Ali</w:t>
            </w:r>
          </w:p>
          <w:p>
            <w:r>
              <w:rPr>
                <w:rFonts w:ascii="Arial" w:cs="Arial" w:eastAsia="Arial" w:hAnsi="Arial"/>
                <w:color w:val="1A1A1A"/>
                <w:sz w:val="17"/>
                <w:szCs w:val="17"/>
              </w:rPr>
              <w:t xml:space="preserve">Date Signed: March 28, 2025</w:t>
            </w:r>
          </w:p>
        </w:tc>
        <w:tc>
          <w:tcPr>
            <w:tcW w:type="dxa" w:w="3120"/>
            <w:tcBorders>
              <w:top w:val="single" w:color="D0F0E4" w:sz="6"/>
              <w:left w:val="single" w:color="D0F0E4" w:sz="6"/>
              <w:bottom w:val="single" w:color="D0F0E4" w:sz="6"/>
              <w:right w:val="single" w:color="D0F0E4" w:sz="6"/>
            </w:tcBorders>
            <w:tcMar>
              <w:top w:type="dxa" w:w="160"/>
              <w:left w:type="dxa" w:w="180"/>
              <w:bottom w:type="dxa" w:w="200"/>
              <w:right w:type="dxa" w:w="180"/>
            </w:tcMar>
          </w:tcPr>
          <w:p>
            <w:r>
              <w:rPr>
                <w:rFonts w:ascii="Arial" w:cs="Arial" w:eastAsia="Arial" w:hAnsi="Arial"/>
                <w:b/>
                <w:bCs/>
                <w:color w:val="0E5C3A"/>
                <w:sz w:val="17"/>
                <w:szCs w:val="17"/>
              </w:rPr>
              <w:t xml:space="preserve">Head of IT Operations</w:t>
            </w:r>
          </w:p>
          <w:p>
            <w:pPr>
              <w:pBdr>
                <w:bottom w:val="single" w:color="999999" w:sz="4" w:space="1"/>
              </w:pBdr>
              <w:spacing w:after="80" w:before="460"/>
            </w:pPr>
            <w:r>
              <w:rPr>
                <w:rFonts w:ascii="Arial" w:cs="Arial" w:eastAsia="Arial" w:hAnsi="Arial"/>
                <w:color w:val="555555"/>
                <w:sz w:val="17"/>
                <w:szCs w:val="17"/>
              </w:rPr>
              <w:t xml:space="preserve">Mr. Tariq Hussain</w:t>
            </w:r>
          </w:p>
          <w:p>
            <w:r>
              <w:rPr>
                <w:rFonts w:ascii="Arial" w:cs="Arial" w:eastAsia="Arial" w:hAnsi="Arial"/>
                <w:color w:val="1A1A1A"/>
                <w:sz w:val="17"/>
                <w:szCs w:val="17"/>
              </w:rPr>
              <w:t xml:space="preserve">Date Signed: March 28, 2025</w:t>
            </w:r>
          </w:p>
        </w:tc>
        <w:tc>
          <w:tcPr>
            <w:tcW w:type="dxa" w:w="3120"/>
            <w:tcBorders>
              <w:top w:val="single" w:color="D0F0E4" w:sz="6"/>
              <w:left w:val="single" w:color="D0F0E4" w:sz="6"/>
              <w:bottom w:val="single" w:color="D0F0E4" w:sz="6"/>
              <w:right w:val="single" w:color="D0F0E4" w:sz="6"/>
            </w:tcBorders>
            <w:tcMar>
              <w:top w:type="dxa" w:w="160"/>
              <w:left w:type="dxa" w:w="180"/>
              <w:bottom w:type="dxa" w:w="200"/>
              <w:right w:type="dxa" w:w="180"/>
            </w:tcMar>
          </w:tcPr>
          <w:p>
            <w:r>
              <w:rPr>
                <w:rFonts w:ascii="Arial" w:cs="Arial" w:eastAsia="Arial" w:hAnsi="Arial"/>
                <w:b/>
                <w:bCs/>
                <w:color w:val="0E5C3A"/>
                <w:sz w:val="17"/>
                <w:szCs w:val="17"/>
              </w:rPr>
              <w:t xml:space="preserve">IT Governance Lead</w:t>
            </w:r>
          </w:p>
          <w:p>
            <w:pPr>
              <w:pBdr>
                <w:bottom w:val="single" w:color="999999" w:sz="4" w:space="1"/>
              </w:pBdr>
              <w:spacing w:after="80" w:before="460"/>
            </w:pPr>
            <w:r>
              <w:rPr>
                <w:rFonts w:ascii="Arial" w:cs="Arial" w:eastAsia="Arial" w:hAnsi="Arial"/>
                <w:color w:val="555555"/>
                <w:sz w:val="17"/>
                <w:szCs w:val="17"/>
              </w:rPr>
              <w:t xml:space="preserve">Mr. Waqas Siddiqui</w:t>
            </w:r>
          </w:p>
          <w:p>
            <w:r>
              <w:rPr>
                <w:rFonts w:ascii="Arial" w:cs="Arial" w:eastAsia="Arial" w:hAnsi="Arial"/>
                <w:color w:val="1A1A1A"/>
                <w:sz w:val="17"/>
                <w:szCs w:val="17"/>
              </w:rPr>
              <w:t xml:space="preserve">Date Signed: March 28, 2025</w:t>
            </w:r>
          </w:p>
        </w:tc>
      </w:tr>
    </w:tbl>
    <w:p>
      <w:pPr>
        <w:spacing w:after="280" w:before="0"/>
      </w:pPr>
      <w:r>
        <w:t xml:space="preserve"/>
      </w:r>
    </w:p>
    <w:p>
      <w:pPr>
        <w:pBdr>
          <w:left w:val="single" w:color="0E5C3A" w:sz="16" w:space="1"/>
        </w:pBdr>
        <w:shd w:fill="F4F6FA" w:val="clear"/>
        <w:spacing w:after="0" w:before="0"/>
        <w:ind w:left="240"/>
      </w:pPr>
      <w:r>
        <w:rPr>
          <w:rFonts w:ascii="Arial" w:cs="Arial" w:eastAsia="Arial" w:hAnsi="Arial"/>
          <w:color w:val="555555"/>
          <w:sz w:val="16"/>
          <w:szCs w:val="16"/>
        </w:rPr>
        <w:t xml:space="preserve">Official Use Only  |  Document Ref: CV-AUTH-MFA-003  |  ComplyVerse GRC Platform  |  ISO/IEC 27001:2022 A.5.17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2026-04-02T03:54:01.250Z</dcterms:created>
  <dcterms:modified xsi:type="dcterms:W3CDTF">2026-04-02T03:54:01.250Z</dcterms:modified>
</cp:coreProperties>
</file>

<file path=docProps/custom.xml><?xml version="1.0" encoding="utf-8"?>
<Properties xmlns="http://schemas.openxmlformats.org/officeDocument/2006/custom-properties" xmlns:vt="http://schemas.openxmlformats.org/officeDocument/2006/docPropsVTypes"/>
</file>