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r>
        <w:t xml:space="preserve"/>
      </w:r>
    </w:p>
    <w:p>
      <w:pPr>
        <w:jc w:val="center"/>
      </w:pPr>
      <w:r>
        <w:rPr>
          <w:rFonts w:ascii="Arial" w:cs="Arial" w:eastAsia="Arial" w:hAnsi="Arial"/>
          <w:b/>
          <w:bCs/>
          <w:color w:val="1F4E79"/>
          <w:sz w:val="44"/>
          <w:szCs w:val="44"/>
        </w:rPr>
        <w:t xml:space="preserve">[BANK NAME]</w:t>
      </w:r>
    </w:p>
    <w:p>
      <w:pPr>
        <w:spacing w:before="60" w:after="60"/>
      </w:pPr>
      <w:r>
        <w:t xml:space="preserve"/>
      </w:r>
    </w:p>
    <w:p>
      <w:pPr>
        <w:jc w:val="center"/>
      </w:pPr>
      <w:r>
        <w:rPr>
          <w:rFonts w:ascii="Arial" w:cs="Arial" w:eastAsia="Arial" w:hAnsi="Arial"/>
          <w:b/>
          <w:bCs/>
          <w:color w:val="2E75B6"/>
          <w:sz w:val="34"/>
          <w:szCs w:val="34"/>
        </w:rPr>
        <w:t xml:space="preserve">IT Audit Program</w:t>
      </w:r>
    </w:p>
    <w:p>
      <w:pPr>
        <w:spacing w:before="240" w:after="24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Document No:</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IT-AUD-001</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Version: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Effective Date:</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[DD-MMM-YYYY]</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Owner:</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Chief Audit Executive (CAE)</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Approved by:</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Audit Committee / Board of Directors</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Regulatory Ref:</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SBP BPRD Circular No. 05/2017 — Chapter 6</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Classification: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FF0000"/>
                <w:sz w:val="20"/>
                <w:szCs w:val="20"/>
              </w:rPr>
              <w:t xml:space="preserve">CONFIDENTIAL</w:t>
            </w:r>
          </w:p>
        </w:tc>
      </w:tr>
    </w:tbl>
    <w:p>
      <w:r>
        <w:br w:type="page"/>
      </w:r>
    </w:p>
    <w:p>
      <w:pPr>
        <w:pStyle w:val="Heading1"/>
      </w:pPr>
      <w:r>
        <w:rPr>
          <w:rFonts w:ascii="Arial" w:cs="Arial" w:eastAsia="Arial" w:hAnsi="Arial"/>
          <w:b/>
          <w:bCs/>
          <w:color w:val="1F4E79"/>
          <w:sz w:val="28"/>
          <w:szCs w:val="28"/>
        </w:rPr>
        <w:t xml:space="preserve">1. Purpose and Scope</w:t>
      </w:r>
    </w:p>
    <w:p>
      <w:pPr>
        <w:spacing w:before="80" w:after="80"/>
        <w:jc w:val="both"/>
      </w:pPr>
      <w:r>
        <w:rPr>
          <w:rFonts w:ascii="Arial" w:cs="Arial" w:eastAsia="Arial" w:hAnsi="Arial"/>
          <w:color w:val="404040"/>
          <w:sz w:val="20"/>
          <w:szCs w:val="20"/>
        </w:rPr>
        <w:t xml:space="preserve">This IT Audit Program establishes the framework for [Bank Name]'s IT audit function, including its mandate, scope, annual planning, reporting, and follow-up activities, in compliance with SBP ETGRMF Chapter 6 and the Bank's Internal Audit Charter.</w:t>
      </w:r>
    </w:p>
    <w:p>
      <w:pPr>
        <w:spacing w:before="120" w:after="120"/>
      </w:pPr>
      <w:r>
        <w:t xml:space="preserve"/>
      </w:r>
    </w:p>
    <w:p>
      <w:pPr>
        <w:pStyle w:val="Heading1"/>
      </w:pPr>
      <w:r>
        <w:rPr>
          <w:rFonts w:ascii="Arial" w:cs="Arial" w:eastAsia="Arial" w:hAnsi="Arial"/>
          <w:b/>
          <w:bCs/>
          <w:color w:val="1F4E79"/>
          <w:sz w:val="28"/>
          <w:szCs w:val="28"/>
        </w:rPr>
        <w:t xml:space="preserve">2. IT Audit Mandate</w:t>
      </w:r>
    </w:p>
    <w:p>
      <w:pPr>
        <w:spacing w:before="80" w:after="80"/>
        <w:jc w:val="both"/>
      </w:pPr>
      <w:r>
        <w:rPr>
          <w:rFonts w:ascii="Arial" w:cs="Arial" w:eastAsia="Arial" w:hAnsi="Arial"/>
          <w:color w:val="404040"/>
          <w:sz w:val="20"/>
          <w:szCs w:val="20"/>
        </w:rPr>
        <w:t xml:space="preserve">The IT Audit function is independent and objective, reporting to the Audit Committee of the Board of Directors. Its mandate is to provide the Board and senior management with reasonable assurance that:</w:t>
      </w:r>
    </w:p>
    <w:p>
      <w:pPr>
        <w:pStyle w:val="ListParagraph"/>
        <w:numPr>
          <w:ilvl w:val="0"/>
          <w:numId w:val="2"/>
        </w:numPr>
        <w:spacing w:before="60" w:after="60"/>
      </w:pPr>
      <w:r>
        <w:rPr>
          <w:rFonts w:ascii="Arial" w:cs="Arial" w:eastAsia="Arial" w:hAnsi="Arial"/>
          <w:color w:val="404040"/>
          <w:sz w:val="20"/>
          <w:szCs w:val="20"/>
        </w:rPr>
        <w:t xml:space="preserve">IT risks are identified and managed effectively.</w:t>
      </w:r>
    </w:p>
    <w:p>
      <w:pPr>
        <w:pStyle w:val="ListParagraph"/>
        <w:numPr>
          <w:ilvl w:val="0"/>
          <w:numId w:val="2"/>
        </w:numPr>
        <w:spacing w:before="60" w:after="60"/>
      </w:pPr>
      <w:r>
        <w:rPr>
          <w:rFonts w:ascii="Arial" w:cs="Arial" w:eastAsia="Arial" w:hAnsi="Arial"/>
          <w:color w:val="404040"/>
          <w:sz w:val="20"/>
          <w:szCs w:val="20"/>
        </w:rPr>
        <w:t xml:space="preserve">IT controls are adequate and operating effectively.</w:t>
      </w:r>
    </w:p>
    <w:p>
      <w:pPr>
        <w:pStyle w:val="ListParagraph"/>
        <w:numPr>
          <w:ilvl w:val="0"/>
          <w:numId w:val="2"/>
        </w:numPr>
        <w:spacing w:before="60" w:after="60"/>
      </w:pPr>
      <w:r>
        <w:rPr>
          <w:rFonts w:ascii="Arial" w:cs="Arial" w:eastAsia="Arial" w:hAnsi="Arial"/>
          <w:color w:val="404040"/>
          <w:sz w:val="20"/>
          <w:szCs w:val="20"/>
        </w:rPr>
        <w:t xml:space="preserve">IT governance, operations, and security comply with regulatory requirements and internal policies.</w:t>
      </w:r>
    </w:p>
    <w:p>
      <w:pPr>
        <w:pStyle w:val="ListParagraph"/>
        <w:numPr>
          <w:ilvl w:val="0"/>
          <w:numId w:val="2"/>
        </w:numPr>
        <w:spacing w:before="60" w:after="60"/>
      </w:pPr>
      <w:r>
        <w:rPr>
          <w:rFonts w:ascii="Arial" w:cs="Arial" w:eastAsia="Arial" w:hAnsi="Arial"/>
          <w:color w:val="404040"/>
          <w:sz w:val="20"/>
          <w:szCs w:val="20"/>
        </w:rPr>
        <w:t xml:space="preserve">Technology projects and acquisitions are managed in a controlled and effective manner.</w:t>
      </w:r>
    </w:p>
    <w:p>
      <w:pPr>
        <w:spacing w:before="120" w:after="120"/>
      </w:pPr>
      <w:r>
        <w:t xml:space="preserve"/>
      </w:r>
    </w:p>
    <w:p>
      <w:pPr>
        <w:pStyle w:val="Heading1"/>
      </w:pPr>
      <w:r>
        <w:rPr>
          <w:rFonts w:ascii="Arial" w:cs="Arial" w:eastAsia="Arial" w:hAnsi="Arial"/>
          <w:b/>
          <w:bCs/>
          <w:color w:val="1F4E79"/>
          <w:sz w:val="28"/>
          <w:szCs w:val="28"/>
        </w:rPr>
        <w:t xml:space="preserve">3. Annual IT Audit Plan</w:t>
      </w:r>
    </w:p>
    <w:p>
      <w:pPr>
        <w:pStyle w:val="Heading2"/>
      </w:pPr>
      <w:r>
        <w:rPr>
          <w:rFonts w:ascii="Arial" w:cs="Arial" w:eastAsia="Arial" w:hAnsi="Arial"/>
          <w:b/>
          <w:bCs/>
          <w:color w:val="2E75B6"/>
          <w:sz w:val="23"/>
          <w:szCs w:val="23"/>
        </w:rPr>
        <w:t xml:space="preserve">3.1 Risk-Based Planning</w:t>
      </w:r>
    </w:p>
    <w:p>
      <w:pPr>
        <w:spacing w:before="80" w:after="80"/>
        <w:jc w:val="both"/>
      </w:pPr>
      <w:r>
        <w:rPr>
          <w:rFonts w:ascii="Arial" w:cs="Arial" w:eastAsia="Arial" w:hAnsi="Arial"/>
          <w:color w:val="404040"/>
          <w:sz w:val="20"/>
          <w:szCs w:val="20"/>
        </w:rPr>
        <w:t xml:space="preserve">The annual IT Audit Plan is developed using a risk-based approach, considering:</w:t>
      </w:r>
    </w:p>
    <w:p>
      <w:pPr>
        <w:pStyle w:val="ListParagraph"/>
        <w:numPr>
          <w:ilvl w:val="0"/>
          <w:numId w:val="2"/>
        </w:numPr>
        <w:spacing w:before="60" w:after="60"/>
      </w:pPr>
      <w:r>
        <w:rPr>
          <w:rFonts w:ascii="Arial" w:cs="Arial" w:eastAsia="Arial" w:hAnsi="Arial"/>
          <w:color w:val="404040"/>
          <w:sz w:val="20"/>
          <w:szCs w:val="20"/>
        </w:rPr>
        <w:t xml:space="preserve">Technology risk profile of [Bank Name] based on complexity, systems, and operations.</w:t>
      </w:r>
    </w:p>
    <w:p>
      <w:pPr>
        <w:pStyle w:val="ListParagraph"/>
        <w:numPr>
          <w:ilvl w:val="0"/>
          <w:numId w:val="2"/>
        </w:numPr>
        <w:spacing w:before="60" w:after="60"/>
      </w:pPr>
      <w:r>
        <w:rPr>
          <w:rFonts w:ascii="Arial" w:cs="Arial" w:eastAsia="Arial" w:hAnsi="Arial"/>
          <w:color w:val="404040"/>
          <w:sz w:val="20"/>
          <w:szCs w:val="20"/>
        </w:rPr>
        <w:t xml:space="preserve">Prior audit findings and open recommendations.</w:t>
      </w:r>
    </w:p>
    <w:p>
      <w:pPr>
        <w:pStyle w:val="ListParagraph"/>
        <w:numPr>
          <w:ilvl w:val="0"/>
          <w:numId w:val="2"/>
        </w:numPr>
        <w:spacing w:before="60" w:after="60"/>
      </w:pPr>
      <w:r>
        <w:rPr>
          <w:rFonts w:ascii="Arial" w:cs="Arial" w:eastAsia="Arial" w:hAnsi="Arial"/>
          <w:color w:val="404040"/>
          <w:sz w:val="20"/>
          <w:szCs w:val="20"/>
        </w:rPr>
        <w:t xml:space="preserve">Regulatory requirements and SBP examination focus areas.</w:t>
      </w:r>
    </w:p>
    <w:p>
      <w:pPr>
        <w:pStyle w:val="ListParagraph"/>
        <w:numPr>
          <w:ilvl w:val="0"/>
          <w:numId w:val="2"/>
        </w:numPr>
        <w:spacing w:before="60" w:after="60"/>
      </w:pPr>
      <w:r>
        <w:rPr>
          <w:rFonts w:ascii="Arial" w:cs="Arial" w:eastAsia="Arial" w:hAnsi="Arial"/>
          <w:color w:val="404040"/>
          <w:sz w:val="20"/>
          <w:szCs w:val="20"/>
        </w:rPr>
        <w:t xml:space="preserve">Management's strategic technology initiatives.</w:t>
      </w:r>
    </w:p>
    <w:p>
      <w:pPr>
        <w:pStyle w:val="ListParagraph"/>
        <w:numPr>
          <w:ilvl w:val="0"/>
          <w:numId w:val="2"/>
        </w:numPr>
        <w:spacing w:before="60" w:after="60"/>
      </w:pPr>
      <w:r>
        <w:rPr>
          <w:rFonts w:ascii="Arial" w:cs="Arial" w:eastAsia="Arial" w:hAnsi="Arial"/>
          <w:color w:val="404040"/>
          <w:sz w:val="20"/>
          <w:szCs w:val="20"/>
        </w:rPr>
        <w:t xml:space="preserve">Industry cyber threat landscape and emerging technology risks.</w:t>
      </w:r>
    </w:p>
    <w:p>
      <w:pPr>
        <w:spacing w:before="80" w:after="80"/>
      </w:pPr>
      <w:r>
        <w:t xml:space="preserve"/>
      </w:r>
    </w:p>
    <w:p>
      <w:pPr>
        <w:pStyle w:val="Heading2"/>
      </w:pPr>
      <w:r>
        <w:rPr>
          <w:rFonts w:ascii="Arial" w:cs="Arial" w:eastAsia="Arial" w:hAnsi="Arial"/>
          <w:b/>
          <w:bCs/>
          <w:color w:val="2E75B6"/>
          <w:sz w:val="23"/>
          <w:szCs w:val="23"/>
        </w:rPr>
        <w:t xml:space="preserve">3.2 Annual Audit Plan — FY[YYYY]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500"/>
        <w:gridCol w:w="1500"/>
        <w:gridCol w:w="1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Audit Area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Planned Quarter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Governance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ETGRMF Chapter 1 compliance; BoD/BITC/ITSC oversight; strategy and policies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Information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ISMF; access control; MFA; network security; encryption; incident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 + External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CSAP; penetration test review; threat intelligence; SOC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External Specialist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Operations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ITSM; patch management; capacity; data center; change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System Acquisition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SDLC; procurement process; UAT; vendor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Cloud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CSP due diligence; SLA compliance; data security; regulatory 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Business Continuity / DR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BCP/DR framework; BIA; DR test results; recovery capability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Application System Review (ASR) — CBS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Access controls; application controls; data integrity; audit trails in CBS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External Specialist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Outsourcing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Vendor contracts; SLA compliance; security controls of outsourced providers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Procurement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Procurement policy compliance; tender processes; vendor selection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Q4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Planned</w:t>
            </w:r>
          </w:p>
        </w:tc>
      </w:tr>
    </w:tbl>
    <w:p>
      <w:pPr>
        <w:spacing w:before="120" w:after="120"/>
      </w:pPr>
      <w:r>
        <w:t xml:space="preserve"/>
      </w:r>
    </w:p>
    <w:p>
      <w:pPr>
        <w:pStyle w:val="Heading1"/>
      </w:pPr>
      <w:r>
        <w:rPr>
          <w:rFonts w:ascii="Arial" w:cs="Arial" w:eastAsia="Arial" w:hAnsi="Arial"/>
          <w:b/>
          <w:bCs/>
          <w:color w:val="1F4E79"/>
          <w:sz w:val="28"/>
          <w:szCs w:val="28"/>
        </w:rPr>
        <w:t xml:space="preserve">4. Scope of IT Audit</w:t>
      </w:r>
    </w:p>
    <w:p>
      <w:pPr>
        <w:spacing w:before="80" w:after="80"/>
        <w:jc w:val="both"/>
      </w:pPr>
      <w:r>
        <w:rPr>
          <w:rFonts w:ascii="Arial" w:cs="Arial" w:eastAsia="Arial" w:hAnsi="Arial"/>
          <w:color w:val="404040"/>
          <w:sz w:val="20"/>
          <w:szCs w:val="20"/>
        </w:rPr>
        <w:t xml:space="preserve">The IT audit scope shall include:</w:t>
      </w:r>
    </w:p>
    <w:p>
      <w:pPr>
        <w:pStyle w:val="ListParagraph"/>
        <w:numPr>
          <w:ilvl w:val="0"/>
          <w:numId w:val="2"/>
        </w:numPr>
        <w:spacing w:before="60" w:after="60"/>
      </w:pPr>
      <w:r>
        <w:rPr>
          <w:rFonts w:ascii="Arial" w:cs="Arial" w:eastAsia="Arial" w:hAnsi="Arial"/>
          <w:color w:val="404040"/>
          <w:sz w:val="20"/>
          <w:szCs w:val="20"/>
        </w:rPr>
        <w:t xml:space="preserve">Identification of weaknesses and provision of meaningful recommendations with management action plans.</w:t>
      </w:r>
    </w:p>
    <w:p>
      <w:pPr>
        <w:pStyle w:val="ListParagraph"/>
        <w:numPr>
          <w:ilvl w:val="0"/>
          <w:numId w:val="2"/>
        </w:numPr>
        <w:spacing w:before="60" w:after="60"/>
      </w:pPr>
      <w:r>
        <w:rPr>
          <w:rFonts w:ascii="Arial" w:cs="Arial" w:eastAsia="Arial" w:hAnsi="Arial"/>
          <w:color w:val="404040"/>
          <w:sz w:val="20"/>
          <w:szCs w:val="20"/>
        </w:rPr>
        <w:t xml:space="preserve">Review of general controls covering IT strategic planning, operations, DR/BCP, outsourcing, security, development and acquisitions, digital delivery channels, IT procurement, and project management.</w:t>
      </w:r>
    </w:p>
    <w:p>
      <w:pPr>
        <w:pStyle w:val="ListParagraph"/>
        <w:numPr>
          <w:ilvl w:val="0"/>
          <w:numId w:val="2"/>
        </w:numPr>
        <w:spacing w:before="60" w:after="60"/>
      </w:pPr>
      <w:r>
        <w:rPr>
          <w:rFonts w:ascii="Arial" w:cs="Arial" w:eastAsia="Arial" w:hAnsi="Arial"/>
          <w:color w:val="404040"/>
          <w:sz w:val="20"/>
          <w:szCs w:val="20"/>
        </w:rPr>
        <w:t xml:space="preserve">Regular comprehensive audit of CSP arrangements.</w:t>
      </w:r>
    </w:p>
    <w:p>
      <w:pPr>
        <w:pStyle w:val="ListParagraph"/>
        <w:numPr>
          <w:ilvl w:val="0"/>
          <w:numId w:val="2"/>
        </w:numPr>
        <w:spacing w:before="60" w:after="60"/>
      </w:pPr>
      <w:r>
        <w:rPr>
          <w:rFonts w:ascii="Arial" w:cs="Arial" w:eastAsia="Arial" w:hAnsi="Arial"/>
          <w:color w:val="404040"/>
          <w:sz w:val="20"/>
          <w:szCs w:val="20"/>
        </w:rPr>
        <w:t xml:space="preserve">Application System Reviews (ASR) of critical applications at least annually.</w:t>
      </w:r>
    </w:p>
    <w:p>
      <w:pPr>
        <w:spacing w:before="120" w:after="120"/>
      </w:pPr>
      <w:r>
        <w:t xml:space="preserve"/>
      </w:r>
    </w:p>
    <w:p>
      <w:pPr>
        <w:pStyle w:val="Heading1"/>
      </w:pPr>
      <w:r>
        <w:rPr>
          <w:rFonts w:ascii="Arial" w:cs="Arial" w:eastAsia="Arial" w:hAnsi="Arial"/>
          <w:b/>
          <w:bCs/>
          <w:color w:val="1F4E79"/>
          <w:sz w:val="28"/>
          <w:szCs w:val="28"/>
        </w:rPr>
        <w:t xml:space="preserve">5. Reporting Methodology</w:t>
      </w:r>
    </w:p>
    <w:p>
      <w:pPr>
        <w:spacing w:before="80" w:after="80"/>
        <w:jc w:val="both"/>
      </w:pPr>
      <w:r>
        <w:rPr>
          <w:rFonts w:ascii="Arial" w:cs="Arial" w:eastAsia="Arial" w:hAnsi="Arial"/>
          <w:color w:val="404040"/>
          <w:sz w:val="20"/>
          <w:szCs w:val="20"/>
        </w:rPr>
        <w:t xml:space="preserve">Audit reports shall follow the Bank's standard audit report format:</w:t>
      </w:r>
    </w:p>
    <w:p>
      <w:pPr>
        <w:pStyle w:val="ListParagraph"/>
        <w:numPr>
          <w:ilvl w:val="0"/>
          <w:numId w:val="3"/>
        </w:numPr>
        <w:spacing w:before="60" w:after="60"/>
      </w:pPr>
      <w:r>
        <w:rPr>
          <w:rFonts w:ascii="Arial" w:cs="Arial" w:eastAsia="Arial" w:hAnsi="Arial"/>
          <w:color w:val="404040"/>
          <w:sz w:val="20"/>
          <w:szCs w:val="20"/>
        </w:rPr>
        <w:t xml:space="preserve">Draft report issued to management in the audited area for review and comment within 5 working days.</w:t>
      </w:r>
    </w:p>
    <w:p>
      <w:pPr>
        <w:pStyle w:val="ListParagraph"/>
        <w:numPr>
          <w:ilvl w:val="0"/>
          <w:numId w:val="3"/>
        </w:numPr>
        <w:spacing w:before="60" w:after="60"/>
      </w:pPr>
      <w:r>
        <w:rPr>
          <w:rFonts w:ascii="Arial" w:cs="Arial" w:eastAsia="Arial" w:hAnsi="Arial"/>
          <w:color w:val="404040"/>
          <w:sz w:val="20"/>
          <w:szCs w:val="20"/>
        </w:rPr>
        <w:t xml:space="preserve">Management responses obtained within 10 working days.</w:t>
      </w:r>
    </w:p>
    <w:p>
      <w:pPr>
        <w:pStyle w:val="ListParagraph"/>
        <w:numPr>
          <w:ilvl w:val="0"/>
          <w:numId w:val="3"/>
        </w:numPr>
        <w:spacing w:before="60" w:after="60"/>
      </w:pPr>
      <w:r>
        <w:rPr>
          <w:rFonts w:ascii="Arial" w:cs="Arial" w:eastAsia="Arial" w:hAnsi="Arial"/>
          <w:color w:val="404040"/>
          <w:sz w:val="20"/>
          <w:szCs w:val="20"/>
        </w:rPr>
        <w:t xml:space="preserve">Final report issued, signed, dated, and distributed as per the audit program.</w:t>
      </w:r>
    </w:p>
    <w:p>
      <w:pPr>
        <w:pStyle w:val="ListParagraph"/>
        <w:numPr>
          <w:ilvl w:val="0"/>
          <w:numId w:val="3"/>
        </w:numPr>
        <w:spacing w:before="60" w:after="60"/>
      </w:pPr>
      <w:r>
        <w:rPr>
          <w:rFonts w:ascii="Arial" w:cs="Arial" w:eastAsia="Arial" w:hAnsi="Arial"/>
          <w:color w:val="404040"/>
          <w:sz w:val="20"/>
          <w:szCs w:val="20"/>
        </w:rPr>
        <w:t xml:space="preserve">Reports classified by finding severity: Critical, High, Medium, Low.</w:t>
      </w:r>
    </w:p>
    <w:p>
      <w:pPr>
        <w:pStyle w:val="ListParagraph"/>
        <w:numPr>
          <w:ilvl w:val="0"/>
          <w:numId w:val="3"/>
        </w:numPr>
        <w:spacing w:before="60" w:after="60"/>
      </w:pPr>
      <w:r>
        <w:rPr>
          <w:rFonts w:ascii="Arial" w:cs="Arial" w:eastAsia="Arial" w:hAnsi="Arial"/>
          <w:color w:val="404040"/>
          <w:sz w:val="20"/>
          <w:szCs w:val="20"/>
        </w:rPr>
        <w:t xml:space="preserve">Consolidated quarterly IT audit report submitted to the Audit Committee covering all 7 reporting areas defined in SBP ETGRMF Section 6.3(d).</w:t>
      </w:r>
    </w:p>
    <w:p>
      <w:pPr>
        <w:spacing w:before="120" w:after="120"/>
      </w:pPr>
      <w:r>
        <w:t xml:space="preserve"/>
      </w:r>
    </w:p>
    <w:p>
      <w:pPr>
        <w:pStyle w:val="Heading1"/>
      </w:pPr>
      <w:r>
        <w:rPr>
          <w:rFonts w:ascii="Arial" w:cs="Arial" w:eastAsia="Arial" w:hAnsi="Arial"/>
          <w:b/>
          <w:bCs/>
          <w:color w:val="1F4E79"/>
          <w:sz w:val="28"/>
          <w:szCs w:val="28"/>
        </w:rPr>
        <w:t xml:space="preserve">6. Post-Closing and Monitoring Activities</w:t>
      </w:r>
    </w:p>
    <w:p>
      <w:pPr>
        <w:pStyle w:val="ListParagraph"/>
        <w:numPr>
          <w:ilvl w:val="0"/>
          <w:numId w:val="3"/>
        </w:numPr>
        <w:spacing w:before="60" w:after="60"/>
      </w:pPr>
      <w:r>
        <w:rPr>
          <w:rFonts w:ascii="Arial" w:cs="Arial" w:eastAsia="Arial" w:hAnsi="Arial"/>
          <w:color w:val="404040"/>
          <w:sz w:val="20"/>
          <w:szCs w:val="20"/>
        </w:rPr>
        <w:t xml:space="preserve">Management approves a procedure to ensure timely implementation of audit recommendations.</w:t>
      </w:r>
    </w:p>
    <w:p>
      <w:pPr>
        <w:pStyle w:val="ListParagraph"/>
        <w:numPr>
          <w:ilvl w:val="0"/>
          <w:numId w:val="3"/>
        </w:numPr>
        <w:spacing w:before="60" w:after="60"/>
      </w:pPr>
      <w:r>
        <w:rPr>
          <w:rFonts w:ascii="Arial" w:cs="Arial" w:eastAsia="Arial" w:hAnsi="Arial"/>
          <w:color w:val="404040"/>
          <w:sz w:val="20"/>
          <w:szCs w:val="20"/>
        </w:rPr>
        <w:t xml:space="preserve">IT Audit function monitors implementation of all management corrective actions.</w:t>
      </w:r>
    </w:p>
    <w:p>
      <w:pPr>
        <w:pStyle w:val="ListParagraph"/>
        <w:numPr>
          <w:ilvl w:val="0"/>
          <w:numId w:val="3"/>
        </w:numPr>
        <w:spacing w:before="60" w:after="60"/>
      </w:pPr>
      <w:r>
        <w:rPr>
          <w:rFonts w:ascii="Arial" w:cs="Arial" w:eastAsia="Arial" w:hAnsi="Arial"/>
          <w:color w:val="404040"/>
          <w:sz w:val="20"/>
          <w:szCs w:val="20"/>
        </w:rPr>
        <w:t xml:space="preserve">Status of recommendations communicated to the Board/Audit Committee at least quarterly.</w:t>
      </w:r>
    </w:p>
    <w:p>
      <w:pPr>
        <w:pStyle w:val="ListParagraph"/>
        <w:numPr>
          <w:ilvl w:val="0"/>
          <w:numId w:val="3"/>
        </w:numPr>
        <w:spacing w:before="60" w:after="60"/>
      </w:pPr>
      <w:r>
        <w:rPr>
          <w:rFonts w:ascii="Arial" w:cs="Arial" w:eastAsia="Arial" w:hAnsi="Arial"/>
          <w:color w:val="404040"/>
          <w:sz w:val="20"/>
          <w:szCs w:val="20"/>
        </w:rPr>
        <w:t xml:space="preserve">Critical/High findings tracked to closure within defined remediation timelines.</w:t>
      </w:r>
    </w:p>
    <w:p>
      <w:pPr>
        <w:pStyle w:val="ListParagraph"/>
        <w:numPr>
          <w:ilvl w:val="0"/>
          <w:numId w:val="3"/>
        </w:numPr>
        <w:spacing w:before="60" w:after="60"/>
      </w:pPr>
      <w:r>
        <w:rPr>
          <w:rFonts w:ascii="Arial" w:cs="Arial" w:eastAsia="Arial" w:hAnsi="Arial"/>
          <w:color w:val="404040"/>
          <w:sz w:val="20"/>
          <w:szCs w:val="20"/>
        </w:rPr>
        <w:t xml:space="preserve">Unresolved critical findings escalated to Audit Committee Chairman.</w:t>
      </w:r>
    </w:p>
    <w:p>
      <w:pPr>
        <w:spacing w:before="120" w:after="120"/>
      </w:pPr>
      <w:r>
        <w:t xml:space="preserve"/>
      </w:r>
    </w:p>
    <w:p>
      <w:pPr>
        <w:pStyle w:val="Heading1"/>
      </w:pPr>
      <w:r>
        <w:rPr>
          <w:rFonts w:ascii="Arial" w:cs="Arial" w:eastAsia="Arial" w:hAnsi="Arial"/>
          <w:b/>
          <w:bCs/>
          <w:color w:val="1F4E79"/>
          <w:sz w:val="28"/>
          <w:szCs w:val="28"/>
        </w:rPr>
        <w:t xml:space="preserve">7. External IT Audit and Specialist Reviews</w:t>
      </w:r>
    </w:p>
    <w:p>
      <w:pPr>
        <w:pStyle w:val="ListParagraph"/>
        <w:numPr>
          <w:ilvl w:val="0"/>
          <w:numId w:val="2"/>
        </w:numPr>
        <w:spacing w:before="60" w:after="60"/>
      </w:pPr>
      <w:r>
        <w:rPr>
          <w:rFonts w:ascii="Arial" w:cs="Arial" w:eastAsia="Arial" w:hAnsi="Arial"/>
          <w:color w:val="404040"/>
          <w:sz w:val="20"/>
          <w:szCs w:val="20"/>
        </w:rPr>
        <w:t xml:space="preserve">Annual penetration testing by an SBP-approved, independent external specialist firm.</w:t>
      </w:r>
    </w:p>
    <w:p>
      <w:pPr>
        <w:pStyle w:val="ListParagraph"/>
        <w:numPr>
          <w:ilvl w:val="0"/>
          <w:numId w:val="2"/>
        </w:numPr>
        <w:spacing w:before="60" w:after="60"/>
      </w:pPr>
      <w:r>
        <w:rPr>
          <w:rFonts w:ascii="Arial" w:cs="Arial" w:eastAsia="Arial" w:hAnsi="Arial"/>
          <w:color w:val="404040"/>
          <w:sz w:val="20"/>
          <w:szCs w:val="20"/>
        </w:rPr>
        <w:t xml:space="preserve">Application System Reviews (ASR) for CBS and payment systems by external IT audit specialist.</w:t>
      </w:r>
    </w:p>
    <w:p>
      <w:pPr>
        <w:pStyle w:val="ListParagraph"/>
        <w:numPr>
          <w:ilvl w:val="0"/>
          <w:numId w:val="2"/>
        </w:numPr>
        <w:spacing w:before="60" w:after="60"/>
      </w:pPr>
      <w:r>
        <w:rPr>
          <w:rFonts w:ascii="Arial" w:cs="Arial" w:eastAsia="Arial" w:hAnsi="Arial"/>
          <w:color w:val="404040"/>
          <w:sz w:val="20"/>
          <w:szCs w:val="20"/>
        </w:rPr>
        <w:t xml:space="preserve">Cloud security review by external specialist for all approved cloud arrangements.</w:t>
      </w:r>
    </w:p>
    <w:p>
      <w:pPr>
        <w:pStyle w:val="ListParagraph"/>
        <w:numPr>
          <w:ilvl w:val="0"/>
          <w:numId w:val="2"/>
        </w:numPr>
        <w:spacing w:before="60" w:after="60"/>
      </w:pPr>
      <w:r>
        <w:rPr>
          <w:rFonts w:ascii="Arial" w:cs="Arial" w:eastAsia="Arial" w:hAnsi="Arial"/>
          <w:color w:val="404040"/>
          <w:sz w:val="20"/>
          <w:szCs w:val="20"/>
        </w:rPr>
        <w:t xml:space="preserve">SWIFT CSCF independent assessment as required by SWIFT CSP requirements.</w:t>
      </w:r>
    </w:p>
    <w:p>
      <w:pPr>
        <w:pStyle w:val="ListParagraph"/>
        <w:numPr>
          <w:ilvl w:val="0"/>
          <w:numId w:val="2"/>
        </w:numPr>
        <w:spacing w:before="60" w:after="60"/>
      </w:pPr>
      <w:r>
        <w:rPr>
          <w:rFonts w:ascii="Arial" w:cs="Arial" w:eastAsia="Arial" w:hAnsi="Arial"/>
          <w:color w:val="404040"/>
          <w:sz w:val="20"/>
          <w:szCs w:val="20"/>
        </w:rPr>
        <w:t xml:space="preserve">External review of IT audit function quality at least every 5 years.</w:t>
      </w:r>
    </w:p>
    <w:p>
      <w:pPr>
        <w:spacing w:before="160" w:after="160"/>
      </w:pPr>
      <w:r>
        <w:t xml:space="preserve"/>
      </w:r>
    </w:p>
    <w:p>
      <w:pPr>
        <w:pBdr>
          <w:top w:val="single" w:color="2E75B6" w:sz="8" w:space="4"/>
        </w:pBdr>
        <w:jc w:val="center"/>
      </w:pPr>
      <w:r>
        <w:rPr>
          <w:rFonts w:ascii="Arial" w:cs="Arial" w:eastAsia="Arial" w:hAnsi="Arial"/>
          <w:b/>
          <w:bCs/>
          <w:color w:val="1F4E79"/>
          <w:sz w:val="20"/>
          <w:szCs w:val="20"/>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6"/>
        <w:szCs w:val="16"/>
      </w:rPr>
      <w:t xml:space="preserve">IT-AUD-001 | v1.0 | Owner: CAE</w:t>
    </w:r>
    <w:r>
      <w:t xml:space="preserve">	</w:t>
    </w:r>
    <w:r>
      <w:rPr>
        <w:rFonts w:ascii="Arial" w:cs="Arial" w:eastAsia="Arial" w:hAnsi="Arial"/>
        <w:color w:val="40404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E79"/>
        <w:sz w:val="18"/>
        <w:szCs w:val="18"/>
      </w:rPr>
      <w:t xml:space="preserve">[Bank Name] | CAE</w:t>
    </w:r>
    <w:r>
      <w:t xml:space="preserve">	</w:t>
    </w:r>
    <w:r>
      <w:rPr>
        <w:rFonts w:ascii="Arial" w:cs="Arial" w:eastAsia="Arial" w:hAnsi="Arial"/>
        <w:b/>
        <w:bCs/>
        <w:color w:val="FF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3"/>
      <w:szCs w:val="23"/>
    </w:rPr>
  </w:style>
  <w:style w:type="paragraph" w:styleId="Heading3">
    <w:name w:val="Heading 3"/>
    <w:basedOn w:val="Normal"/>
    <w:next w:val="Normal"/>
    <w:qFormat/>
    <w:pPr>
      <w:spacing w:before="160" w:after="8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2026-03-30T08:34:42.282Z</dcterms:created>
  <dcterms:modified xsi:type="dcterms:W3CDTF">2026-03-30T08:34:42.282Z</dcterms:modified>
</cp:coreProperties>
</file>

<file path=docProps/custom.xml><?xml version="1.0" encoding="utf-8"?>
<Properties xmlns="http://schemas.openxmlformats.org/officeDocument/2006/custom-properties" xmlns:vt="http://schemas.openxmlformats.org/officeDocument/2006/docPropsVTypes"/>
</file>