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COMPLYVERSE  |  AUTHENTICATION INFORMATION MANAGEMENT PROCEDURES</w:t>
      </w:r>
    </w:p>
    <w:p>
      <w:pPr>
        <w:shd w:fill="1B3A5C" w:val="clear"/>
        <w:spacing w:after="280" w:before="60"/>
      </w:pPr>
      <w:r>
        <w:rPr>
          <w:rFonts w:ascii="Arial" w:cs="Arial" w:eastAsia="Arial" w:hAnsi="Arial"/>
          <w:color w:val="A8C8F0"/>
          <w:sz w:val="22"/>
          <w:szCs w:val="22"/>
        </w:rPr>
        <w:t xml:space="preserve">Formal Procedures for Managing Authentication Credentials — ISO/IEC 27001:2022 A.5.17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Ref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CV-AUTH-PROC-001</w:t>
            </w:r>
          </w:p>
        </w:tc>
        <w:tc>
          <w:tcPr>
            <w:tcW w:type="dxa" w:w="234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28, 2025</w:t>
            </w:r>
          </w:p>
        </w:tc>
        <w:tc>
          <w:tcPr>
            <w:tcW w:type="dxa" w:w="234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 Control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A.5.17 — Authentication Information</w:t>
            </w:r>
          </w:p>
        </w:tc>
        <w:tc>
          <w:tcPr>
            <w:tcW w:type="dxa" w:w="2340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Review Cycle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PURPOSE &amp; SCOPE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formal procedures for managing all forms of authentication information at DemoTech Enterprises (Pvt.) Ltd., including passwords, passphrases, PINs, cryptographic keys, certificates, tokens, and biometric credentials.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procedures apply to all employees, contractors, third-party users, service accounts, and system identities that access any information system owned or operated by the Company. Compliance is mandatory. Non-compliance is treated as a disciplinary matter under the Company's Information Security Policy.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AUTHENTICATION CREDENTIAL TYPES &amp; CLASSIFICATION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360"/>
        <w:gridCol w:w="2200"/>
      </w:tblGrid>
      <w:tr>
        <w:tc>
          <w:tcPr>
            <w:tcW w:type="dxa" w:w="20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 Type</w:t>
            </w:r>
          </w:p>
        </w:tc>
        <w:tc>
          <w:tcPr>
            <w:tcW w:type="dxa" w:w="28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3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Governing Section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Password / Passphrase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user accounts, application logins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3, 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banking, card access, physical entry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3, 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Privileged Password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accounts, root, service accounts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HIGHLY 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3, 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MFA Token / OTP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 factor for all user &amp; admin logins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PKI Certificate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System-to-system auth, code signing, TLS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HIGHLY 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SSH Key Pair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access, DevOps pipelines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HIGHLY 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Key / Secret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integrations, service accounts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HIGHLY CONFIDENTIAL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5, 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Biometric Data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Physical access, mobile device unlock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RESTRICTED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Section 8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PASSWORD / PASSPHRASE MANAGEMENT PROCEDURES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3.1  Password Creation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users must select passwords that comply with the technical requirements defined in the Password Policy (CV-AUTH-PWD-002). The following procedural requirements apply in addition to technical controls: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Users must never base passwords on personal information (name, date of birth, family member names, employee ID, or vehicle registration).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Users must never derive passwords from the system name, application name, or company name (e.g., 'DemoTech@2025' is prohibited).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Passphrases (a sequence of 4+ random words) are the preferred form of credential and must be at least 16 characters.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Passwords must not repeat any of the last 12 passwords used on the same account.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Passwords generated by IT during account provisioning are temporary; the user must change on first login before accessing any data.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3.2  Password Distribution &amp; Delivery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system-generated temporary password must be communicated to a user, the following procedure applies: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The temporary password and the username must NEVER be communicated via the same channel (e.g., username via email, password via SMS or verbal).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Temporary passwords must be generated as a one-time-use string of minimum 12 characters meeting complexity requirements.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System-generated passwords must be delivered via an encrypted channel or a dedicated secure credential delivery platform (e.g., the ComplyVerse Credential Vault).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The IT Service Desk must log every instance of password delivery in the ITSM ticket system, including the channel used and confirmation of receipt.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Temporary passwords expire after 24 hours if not used; the account is locked and a new delivery process initiated.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3.3  Password Storage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Passwords must NEVER be stored in plaintext in any system, file, database, spreadsheet, email, or note.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All passwords stored in IT systems must be hashed using bcrypt, Argon2, or PBKDF2 with a minimum work factor meeting current OWASP standards.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Users requiring shared access to passwords for operational purposes must use the approved enterprise Password Manager (HashiCorp Vault for service accounts; CyberArk for privileged accounts).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Storing passwords in browser autofill, sticky notes, desktop files, or unencrypted documents is strictly prohibited.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Service account passwords stored in scripts or configuration files must be replaced with secrets manager references (Azure Key Vault / HashiCorp Vault).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3.4  Password Change &amp; Reset Procedures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are required to change passwords under the following circumstances: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At first login following account creation or password reset by IT.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Upon any suspected or confirmed compromise of the credential.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When leaving a role that had access to shared credentials.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For privileged accounts: every 90 days (enforced technically — see Section 3.5).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At the direction of the Information Security team following a security incident or threat intelligence advisory.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Self-service password reset (SSPR) is available via Microsoft Entra ID SSPR for standard accounts. SSPR requires identity verification through a registered MFA method. SSPR activity is logged to the SIEM and reviewed weekly by the Security Officer.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3.5  Privileged &amp; Service Account Credential Management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All privileged accounts (Domain Admin, local admin, root, DBA, security tool admin) are stored in the CyberArk Privileged Access Management (PAM) vault.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Privileged account passwords are rotated automatically by CyberArk every 90 days (production) and 30 days (internet-facing systems).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Manual check-out of privileged credentials requires session recording and dual-approval for Tier 1 systems.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Service account passwords are managed by HashiCorp Vault with dynamic secret generation where supported by the target system.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Orphaned or inactive service accounts are reviewed quarterly; unused accounts are disabled within 90 days and deleted within 180 days.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Default vendor / manufacturer credentials must be changed immediately upon system installation. Evidence of change must be filed in the ComplyVerse asset record.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ACCOUNT LIFECYCLE PROCEDURES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Lifecycle Event</w:t>
            </w:r>
          </w:p>
        </w:tc>
        <w:tc>
          <w:tcPr>
            <w:tcW w:type="dxa" w:w="45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Authentication Procedure</w:t>
            </w:r>
          </w:p>
        </w:tc>
        <w:tc>
          <w:tcPr>
            <w:tcW w:type="dxa" w:w="24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Required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New User Onboarding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 submits provisioning request in ServiceNow. IT creates account with temporary password. Credential delivered via secure channel. User changes password at first login. MFA enrolled before account is fully activated.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ITSM ticket + MFA enrolment log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Role Change / Transfer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 review conducted. New role assigned; conflicting access removed. If credential scope changes, password reset issued for affected systems.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Access review sign-off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User Offboarding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 initiates termination request. All accounts disabled within 2 hours of last working day. Passwords invalidated. MFA tokens revoked. PAM checked for privileged access.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Offboarding checklist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Contractor / Vendor Access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Time-limited account created with exact access scope. Credential shared via secure vault. Account auto-expires at contract end date. MFA mandatory.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 + ITSM ticket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Password Compromise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locked immediately. Incident raised. All sessions terminated. Password reset via secure channel. Post-incident review within 5 working days.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Incident report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Periodic Access Review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accounts reviewed quarterly. Dormant accounts (90 days inactive) disabled. Role-to-access mapping validated. MFA enrolment confirmed for all active accounts.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Access review report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 CRYPTOGRAPHIC KEY &amp; CERTIFICATE MANAGEMENT PROCEDURES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All cryptographic keys and digital certificates are inventoried in the ComplyVerse GRC platform with owner, expiry date, algorithm, and key length recorded.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Certificate expiry monitoring is automated; alerts are raised 60 days, 30 days, and 7 days before expiry.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Private keys must never be transmitted in plaintext. Key exchange must use secure protocols (TLS 1.2+ or SSH).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Root CA private keys are stored offline in Hardware Security Modules (HSMs) with dual-custodian access control.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SSH key pairs must be 4096-bit RSA or Ed25519. Key rotation is performed annually or upon staff departure.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API keys and secrets must be rotated every 180 days for non-production systems and every 90 days for production systems.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Revoked or expired certificates must be removed from all systems within 5 working days of expiry.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 USER AWARENESS &amp; TRAINING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users are required to complete Authentication Security Awareness training as follows: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Mandatory e-learning module on password management and MFA: upon onboarding and annually thereafter.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Simulated phishing exercises targeting credential harvesting: quarterly.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Targeted training for privileged users on PAM tool usage and credential hygiene: upon privileged access grant and annually.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Training completion is recorded in the ComplyVerse GRC platform and reported to CISO quarterly.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 MONITORING &amp; COMPLIANCE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Monitoring Activity</w:t>
            </w:r>
          </w:p>
        </w:tc>
        <w:tc>
          <w:tcPr>
            <w:tcW w:type="dxa" w:w="43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Failed Login Monitoring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SIEM alert on 5+ consecutive failed logins for any account. Auto-lockout enforced after threshold.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Privileged Account Usage Review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privileged session recordings reviewed by Security Officer.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SSPR Activity Review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Self-service password reset log reviewed for anomalous patterns.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MFA Bypass Attempt Detection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Alerts raised for any MFA bypass or step-down authentication events.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Dormant Account Report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Accounts with no login in 90+ days reported to system owners for review.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Password Policy Compliance Scan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Entra ID password health report reviewed; non-compliant accounts flagged.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Certificate Expiry Audit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certificate inventory reviewed against expiry dates.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Privileged Account Attestation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Privileged account owners formally attest to continued business need.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Full Access Review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user accounts, roles, and credentials reviewed against HR roster.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C3A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 APPROVAL</w:t>
      </w:r>
    </w:p>
    <w:p>
      <w:pPr>
        <w:pBdr>
          <w:bottom w:val="single" w:color="1B3A5C" w:sz="8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E4F7" w:sz="6"/>
              <w:left w:val="single" w:color="D0E4F7" w:sz="6"/>
              <w:bottom w:val="single" w:color="D0E4F7" w:sz="6"/>
              <w:right w:val="single" w:color="D0E4F7" w:sz="6"/>
            </w:tcBorders>
            <w:tcMar>
              <w:top w:type="dxa" w:w="16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Chief Information Security Officer</w:t>
            </w:r>
          </w:p>
          <w:p>
            <w:pPr>
              <w:pBdr>
                <w:bottom w:val="single" w:color="999999" w:sz="4" w:space="1"/>
              </w:pBdr>
              <w:spacing w:after="80" w:before="4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Mr. Imran Ali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 Signed: March 28, 2025</w:t>
            </w:r>
          </w:p>
        </w:tc>
        <w:tc>
          <w:tcPr>
            <w:tcW w:type="dxa" w:w="3120"/>
            <w:tcBorders>
              <w:top w:val="single" w:color="D0E4F7" w:sz="6"/>
              <w:left w:val="single" w:color="D0E4F7" w:sz="6"/>
              <w:bottom w:val="single" w:color="D0E4F7" w:sz="6"/>
              <w:right w:val="single" w:color="D0E4F7" w:sz="6"/>
            </w:tcBorders>
            <w:tcMar>
              <w:top w:type="dxa" w:w="16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Head of IT Operations</w:t>
            </w:r>
          </w:p>
          <w:p>
            <w:pPr>
              <w:pBdr>
                <w:bottom w:val="single" w:color="999999" w:sz="4" w:space="1"/>
              </w:pBdr>
              <w:spacing w:after="80" w:before="4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Mr. Tariq Hussain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 Signed: March 28, 2025</w:t>
            </w:r>
          </w:p>
        </w:tc>
        <w:tc>
          <w:tcPr>
            <w:tcW w:type="dxa" w:w="3120"/>
            <w:tcBorders>
              <w:top w:val="single" w:color="D0E4F7" w:sz="6"/>
              <w:left w:val="single" w:color="D0E4F7" w:sz="6"/>
              <w:bottom w:val="single" w:color="D0E4F7" w:sz="6"/>
              <w:right w:val="single" w:color="D0E4F7" w:sz="6"/>
            </w:tcBorders>
            <w:tcMar>
              <w:top w:type="dxa" w:w="16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IT Governance Lead</w:t>
            </w:r>
          </w:p>
          <w:p>
            <w:pPr>
              <w:pBdr>
                <w:bottom w:val="single" w:color="999999" w:sz="4" w:space="1"/>
              </w:pBdr>
              <w:spacing w:after="80" w:before="4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Mr. Waqas Siddiqui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 Signed: March 28, 2025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left w:val="single" w:color="1B3A5C" w:sz="16" w:space="1"/>
        </w:pBdr>
        <w:shd w:fill="F4F6FA" w:val="clear"/>
        <w:spacing w:after="0" w:before="0"/>
        <w:ind w:left="2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Official Use Only  |  Document Ref: CV-AUTH-PROC-001  |  ComplyVerse GRC Platform  |  ISO/IEC 27001:2022 A.5.17 Evidence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2026-04-02T03:54:00.913Z</dcterms:created>
  <dcterms:modified xsi:type="dcterms:W3CDTF">2026-04-02T03:54:00.914Z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