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pPr>
      <w:r>
        <w:t xml:space="preserve"/>
      </w:r>
    </w:p>
    <w:p>
      <w:pPr>
        <w:jc w:val="center"/>
      </w:pPr>
      <w:r>
        <w:rPr>
          <w:rFonts w:ascii="Arial" w:cs="Arial" w:eastAsia="Arial" w:hAnsi="Arial"/>
          <w:b/>
          <w:bCs/>
          <w:color w:val="1F4E79"/>
          <w:sz w:val="52"/>
          <w:szCs w:val="52"/>
        </w:rPr>
        <w:t xml:space="preserve">[BANK NAME]</w:t>
      </w:r>
    </w:p>
    <w:p>
      <w:pPr>
        <w:spacing w:before="120" w:after="120"/>
      </w:pPr>
      <w:r>
        <w:t xml:space="preserve"/>
      </w:r>
    </w:p>
    <w:p>
      <w:pPr>
        <w:jc w:val="center"/>
      </w:pPr>
      <w:r>
        <w:rPr>
          <w:rFonts w:ascii="Arial" w:cs="Arial" w:eastAsia="Arial" w:hAnsi="Arial"/>
          <w:b/>
          <w:bCs/>
          <w:color w:val="2E75B6"/>
          <w:sz w:val="44"/>
          <w:szCs w:val="44"/>
        </w:rPr>
        <w:t xml:space="preserve">Enterprise Technology Governance Framework</w:t>
      </w:r>
    </w:p>
    <w:p>
      <w:pPr>
        <w:spacing w:before="60" w:after="120"/>
      </w:pPr>
      <w:r>
        <w:t xml:space="preserve"/>
      </w:r>
    </w:p>
    <w:p>
      <w:pPr>
        <w:jc w:val="center"/>
      </w:pPr>
      <w:r>
        <w:rPr>
          <w:rFonts w:ascii="Arial" w:cs="Arial" w:eastAsia="Arial" w:hAnsi="Arial"/>
          <w:color w:val="404040"/>
          <w:sz w:val="28"/>
          <w:szCs w:val="28"/>
        </w:rPr>
        <w:t xml:space="preserve">Policy &amp; Framework Document</w:t>
      </w:r>
    </w:p>
    <w:p>
      <w:pPr>
        <w:spacing w:before="360" w:after="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0"/>
                <w:szCs w:val="20"/>
              </w:rPr>
              <w:t xml:space="preserve">Policy No:</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IT-GOV-001</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1.0</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0"/>
                <w:szCs w:val="20"/>
              </w:rPr>
              <w:t xml:space="preserve">Issue Date: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[DD-MMM-YYYY]</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0"/>
                <w:szCs w:val="20"/>
              </w:rPr>
              <w:t xml:space="preserve">Review Date: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[DD-MMM-YYYY]</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0"/>
                <w:szCs w:val="20"/>
              </w:rPr>
              <w:t xml:space="preserve">Classification: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FF0000"/>
                <w:sz w:val="20"/>
                <w:szCs w:val="20"/>
              </w:rPr>
              <w:t xml:space="preserve">CONFIDENTIAL</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0"/>
                <w:szCs w:val="20"/>
              </w:rPr>
              <w:t xml:space="preserve">Owner:</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Chief Information Officer (CIO)</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0"/>
                <w:szCs w:val="20"/>
              </w:rPr>
              <w:t xml:space="preserve">Approved by:</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Board of Directors</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0"/>
                <w:szCs w:val="20"/>
              </w:rPr>
              <w:t xml:space="preserve">Regulatory Ref:</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SBP BPRD Circular No. 05 dated May 30, 2017</w:t>
            </w:r>
          </w:p>
        </w:tc>
      </w:tr>
    </w:tbl>
    <w:p>
      <w:pPr>
        <w:spacing w:before="360" w:after="120"/>
      </w:pPr>
      <w:r>
        <w:t xml:space="preserve"/>
      </w:r>
    </w:p>
    <w:p>
      <w:pPr>
        <w:pBdr>
          <w:top w:val="single" w:color="2E75B6" w:sz="6" w:space="1"/>
        </w:pBdr>
        <w:jc w:val="center"/>
      </w:pPr>
      <w:r>
        <w:rPr>
          <w:rFonts w:ascii="Arial" w:cs="Arial" w:eastAsia="Arial" w:hAnsi="Arial"/>
          <w:color w:val="404040"/>
          <w:sz w:val="18"/>
          <w:szCs w:val="18"/>
        </w:rPr>
        <w:t xml:space="preserve">Information Technology Division | [Bank Name]</w:t>
      </w:r>
    </w:p>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Document Control</w:t>
      </w:r>
    </w:p>
    <w:p>
      <w:pPr>
        <w:pStyle w:val="Heading2"/>
        <w:spacing w:before="240" w:after="120"/>
      </w:pPr>
      <w:r>
        <w:rPr>
          <w:rFonts w:ascii="Arial" w:cs="Arial" w:eastAsia="Arial" w:hAnsi="Arial"/>
          <w:b/>
          <w:bCs/>
          <w:color w:val="2E75B6"/>
          <w:sz w:val="26"/>
          <w:szCs w:val="26"/>
        </w:rPr>
        <w:t xml:space="preserve">Document History</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500"/>
        <w:gridCol w:w="2230"/>
        <w:gridCol w:w="223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of Change</w:t>
            </w:r>
          </w:p>
        </w:tc>
        <w:tc>
          <w:tcPr>
            <w:tcW w:type="dxa" w:w="22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Prepared By</w:t>
            </w:r>
          </w:p>
        </w:tc>
        <w:tc>
          <w:tcPr>
            <w:tcW w:type="dxa" w:w="22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[DD-MMM-YYYY]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Initial Release — Compliance with SBP ETGRMF</w:t>
            </w:r>
          </w:p>
        </w:tc>
        <w:tc>
          <w:tcPr>
            <w:tcW w:type="dxa" w:w="2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[CIO Name]</w:t>
            </w:r>
          </w:p>
        </w:tc>
        <w:tc>
          <w:tcPr>
            <w:tcW w:type="dxa" w:w="2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Board of Directors</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Document Approval</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Chief Information Officer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[CIO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Chief Information Security Officer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[CISO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President / CEO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[CEO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Chairman, Board IT Committee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[Director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Board of Directors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[Ref: Board Resolution 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[Date]</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Distribution List</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Designation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Copy Type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Board of Directors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Controlled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[CIO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Chief Information Officer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Controlled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[CISO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Chief Information Security Officer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Controlled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[CEO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President / CEO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Controlled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Head of Audit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Chief Audit Executive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Controlled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Head of Risk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Chief Risk Officer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Controlled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Head of 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Chief Compliance Officer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Controlled</w:t>
            </w:r>
          </w:p>
        </w:tc>
      </w:tr>
    </w:tbl>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1. Introduction</w:t>
      </w:r>
    </w:p>
    <w:p>
      <w:pPr>
        <w:pStyle w:val="Heading2"/>
        <w:spacing w:before="240" w:after="120"/>
      </w:pPr>
      <w:r>
        <w:rPr>
          <w:rFonts w:ascii="Arial" w:cs="Arial" w:eastAsia="Arial" w:hAnsi="Arial"/>
          <w:b/>
          <w:bCs/>
          <w:color w:val="2E75B6"/>
          <w:sz w:val="26"/>
          <w:szCs w:val="26"/>
        </w:rPr>
        <w:t xml:space="preserve">1.1 Purpose</w:t>
      </w:r>
    </w:p>
    <w:p>
      <w:pPr>
        <w:spacing w:before="80" w:after="80"/>
        <w:jc w:val="both"/>
      </w:pPr>
      <w:r>
        <w:rPr>
          <w:rFonts w:ascii="Arial" w:cs="Arial" w:eastAsia="Arial" w:hAnsi="Arial"/>
          <w:b w:val="false"/>
          <w:bCs w:val="false"/>
          <w:color w:val="404040"/>
          <w:sz w:val="20"/>
          <w:szCs w:val="20"/>
        </w:rPr>
        <w:t xml:space="preserve">This Enterprise Technology Governance Framework (hereinafter 'the Framework') establishes the governance structure, policies, roles, responsibilities, and processes through which [Bank Name] manages its information technology resources and technology-related risks in alignment with its corporate strategy and objectives.</w:t>
      </w:r>
    </w:p>
    <w:p>
      <w:pPr>
        <w:spacing w:before="60" w:after="120"/>
      </w:pPr>
      <w:r>
        <w:t xml:space="preserve"/>
      </w:r>
    </w:p>
    <w:p>
      <w:pPr>
        <w:spacing w:before="80" w:after="80"/>
        <w:jc w:val="both"/>
      </w:pPr>
      <w:r>
        <w:rPr>
          <w:rFonts w:ascii="Arial" w:cs="Arial" w:eastAsia="Arial" w:hAnsi="Arial"/>
          <w:b w:val="false"/>
          <w:bCs w:val="false"/>
          <w:color w:val="404040"/>
          <w:sz w:val="20"/>
          <w:szCs w:val="20"/>
        </w:rPr>
        <w:t xml:space="preserve">The Framework is developed in compliance with the State Bank of Pakistan's (SBP) Enterprise Technology Governance &amp; Risk Management Framework for Financial Institutions, issued vide BPRD Circular No. 05 dated May 30, 2017, and shall serve as the foundational document governing all technology-related activities across the Bank.</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1.2 Objectives</w:t>
      </w:r>
    </w:p>
    <w:p>
      <w:pPr>
        <w:spacing w:before="80" w:after="80"/>
        <w:jc w:val="both"/>
      </w:pPr>
      <w:r>
        <w:rPr>
          <w:rFonts w:ascii="Arial" w:cs="Arial" w:eastAsia="Arial" w:hAnsi="Arial"/>
          <w:b w:val="false"/>
          <w:bCs w:val="false"/>
          <w:color w:val="404040"/>
          <w:sz w:val="20"/>
          <w:szCs w:val="20"/>
        </w:rPr>
        <w:t xml:space="preserve">The primary objectives of this Framework are to:</w:t>
      </w:r>
    </w:p>
    <w:p>
      <w:pPr>
        <w:pStyle w:val="ListParagraph"/>
        <w:numPr>
          <w:ilvl w:val="0"/>
          <w:numId w:val="2"/>
        </w:numPr>
        <w:spacing w:before="60" w:after="60"/>
      </w:pPr>
      <w:r>
        <w:rPr>
          <w:rFonts w:ascii="Arial" w:cs="Arial" w:eastAsia="Arial" w:hAnsi="Arial"/>
          <w:color w:val="404040"/>
          <w:sz w:val="20"/>
          <w:szCs w:val="20"/>
        </w:rPr>
        <w:t xml:space="preserve">Ensure alignment of IT strategy with the Bank's overall business strategy and corporate objectives.</w:t>
      </w:r>
    </w:p>
    <w:p>
      <w:pPr>
        <w:pStyle w:val="ListParagraph"/>
        <w:numPr>
          <w:ilvl w:val="0"/>
          <w:numId w:val="2"/>
        </w:numPr>
        <w:spacing w:before="60" w:after="60"/>
      </w:pPr>
      <w:r>
        <w:rPr>
          <w:rFonts w:ascii="Arial" w:cs="Arial" w:eastAsia="Arial" w:hAnsi="Arial"/>
          <w:color w:val="404040"/>
          <w:sz w:val="20"/>
          <w:szCs w:val="20"/>
        </w:rPr>
        <w:t xml:space="preserve">Establish clear governance structures with defined roles and responsibilities for technology oversight.</w:t>
      </w:r>
    </w:p>
    <w:p>
      <w:pPr>
        <w:pStyle w:val="ListParagraph"/>
        <w:numPr>
          <w:ilvl w:val="0"/>
          <w:numId w:val="2"/>
        </w:numPr>
        <w:spacing w:before="60" w:after="60"/>
      </w:pPr>
      <w:r>
        <w:rPr>
          <w:rFonts w:ascii="Arial" w:cs="Arial" w:eastAsia="Arial" w:hAnsi="Arial"/>
          <w:color w:val="404040"/>
          <w:sz w:val="20"/>
          <w:szCs w:val="20"/>
        </w:rPr>
        <w:t xml:space="preserve">Enable effective management, measurement, and monitoring of technology risks across the enterprise.</w:t>
      </w:r>
    </w:p>
    <w:p>
      <w:pPr>
        <w:pStyle w:val="ListParagraph"/>
        <w:numPr>
          <w:ilvl w:val="0"/>
          <w:numId w:val="2"/>
        </w:numPr>
        <w:spacing w:before="60" w:after="60"/>
      </w:pPr>
      <w:r>
        <w:rPr>
          <w:rFonts w:ascii="Arial" w:cs="Arial" w:eastAsia="Arial" w:hAnsi="Arial"/>
          <w:color w:val="404040"/>
          <w:sz w:val="20"/>
          <w:szCs w:val="20"/>
        </w:rPr>
        <w:t xml:space="preserve">Provide a structured approach for value delivery from technology investments.</w:t>
      </w:r>
    </w:p>
    <w:p>
      <w:pPr>
        <w:pStyle w:val="ListParagraph"/>
        <w:numPr>
          <w:ilvl w:val="0"/>
          <w:numId w:val="2"/>
        </w:numPr>
        <w:spacing w:before="60" w:after="60"/>
      </w:pPr>
      <w:r>
        <w:rPr>
          <w:rFonts w:ascii="Arial" w:cs="Arial" w:eastAsia="Arial" w:hAnsi="Arial"/>
          <w:color w:val="404040"/>
          <w:sz w:val="20"/>
          <w:szCs w:val="20"/>
        </w:rPr>
        <w:t xml:space="preserve">Ensure optimal management of IT resources including people, processes, and technology.</w:t>
      </w:r>
    </w:p>
    <w:p>
      <w:pPr>
        <w:pStyle w:val="ListParagraph"/>
        <w:numPr>
          <w:ilvl w:val="0"/>
          <w:numId w:val="2"/>
        </w:numPr>
        <w:spacing w:before="60" w:after="60"/>
      </w:pPr>
      <w:r>
        <w:rPr>
          <w:rFonts w:ascii="Arial" w:cs="Arial" w:eastAsia="Arial" w:hAnsi="Arial"/>
          <w:color w:val="404040"/>
          <w:sz w:val="20"/>
          <w:szCs w:val="20"/>
        </w:rPr>
        <w:t xml:space="preserve">Establish performance measurement and reporting mechanisms for technology-related activities.</w:t>
      </w:r>
    </w:p>
    <w:p>
      <w:pPr>
        <w:pStyle w:val="ListParagraph"/>
        <w:numPr>
          <w:ilvl w:val="0"/>
          <w:numId w:val="2"/>
        </w:numPr>
        <w:spacing w:before="60" w:after="60"/>
      </w:pPr>
      <w:r>
        <w:rPr>
          <w:rFonts w:ascii="Arial" w:cs="Arial" w:eastAsia="Arial" w:hAnsi="Arial"/>
          <w:color w:val="404040"/>
          <w:sz w:val="20"/>
          <w:szCs w:val="20"/>
        </w:rPr>
        <w:t xml:space="preserve">Facilitate compliance with applicable regulatory requirements and international best practices.</w:t>
      </w:r>
    </w:p>
    <w:p>
      <w:pPr>
        <w:pStyle w:val="ListParagraph"/>
        <w:numPr>
          <w:ilvl w:val="0"/>
          <w:numId w:val="2"/>
        </w:numPr>
        <w:spacing w:before="60" w:after="60"/>
      </w:pPr>
      <w:r>
        <w:rPr>
          <w:rFonts w:ascii="Arial" w:cs="Arial" w:eastAsia="Arial" w:hAnsi="Arial"/>
          <w:color w:val="404040"/>
          <w:sz w:val="20"/>
          <w:szCs w:val="20"/>
        </w:rPr>
        <w:t xml:space="preserve">Promote a culture of technology governance and risk awareness throughout the Bank.</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1.3 Regulatory Context</w:t>
      </w:r>
    </w:p>
    <w:p>
      <w:pPr>
        <w:spacing w:before="80" w:after="80"/>
        <w:jc w:val="both"/>
      </w:pPr>
      <w:r>
        <w:rPr>
          <w:rFonts w:ascii="Arial" w:cs="Arial" w:eastAsia="Arial" w:hAnsi="Arial"/>
          <w:b w:val="false"/>
          <w:bCs w:val="false"/>
          <w:color w:val="404040"/>
          <w:sz w:val="20"/>
          <w:szCs w:val="20"/>
        </w:rPr>
        <w:t xml:space="preserve">This Framework has been developed in accordance with the following regulatory requirements and international standards:</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BPRD Circular No. 05/2017</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SBP Enterprise Technology Governance &amp; Risk Management Framework for Financial Institutions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COBIT 2019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Control Objectives for Information and Related Technologies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ISO/IEC 27001:2022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Information Security Management Systems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ISO 22301:2019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Business Continuity Management Systems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ITIL v4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Infrastructure Library — IT Service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NIST CSF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National Institute of Standards and Technology Cybersecurity Framework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Banking Companies Ordinance, 1962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Applicable provisions relating to governance and risk management</w:t>
            </w:r>
          </w:p>
        </w:tc>
      </w:tr>
    </w:tbl>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2. Scope and Applicability</w:t>
      </w:r>
    </w:p>
    <w:p>
      <w:pPr>
        <w:pStyle w:val="Heading2"/>
        <w:spacing w:before="240" w:after="120"/>
      </w:pPr>
      <w:r>
        <w:rPr>
          <w:rFonts w:ascii="Arial" w:cs="Arial" w:eastAsia="Arial" w:hAnsi="Arial"/>
          <w:b/>
          <w:bCs/>
          <w:color w:val="2E75B6"/>
          <w:sz w:val="26"/>
          <w:szCs w:val="26"/>
        </w:rPr>
        <w:t xml:space="preserve">2.1 Scope</w:t>
      </w:r>
    </w:p>
    <w:p>
      <w:pPr>
        <w:spacing w:before="80" w:after="80"/>
        <w:jc w:val="both"/>
      </w:pPr>
      <w:r>
        <w:rPr>
          <w:rFonts w:ascii="Arial" w:cs="Arial" w:eastAsia="Arial" w:hAnsi="Arial"/>
          <w:b w:val="false"/>
          <w:bCs w:val="false"/>
          <w:color w:val="404040"/>
          <w:sz w:val="20"/>
          <w:szCs w:val="20"/>
        </w:rPr>
        <w:t xml:space="preserve">This Framework applies to all technology-related activities, systems, services, and infrastructure across [Bank Name], including but not limited to:</w:t>
      </w:r>
    </w:p>
    <w:p>
      <w:pPr>
        <w:pStyle w:val="ListParagraph"/>
        <w:numPr>
          <w:ilvl w:val="0"/>
          <w:numId w:val="2"/>
        </w:numPr>
        <w:spacing w:before="60" w:after="60"/>
      </w:pPr>
      <w:r>
        <w:rPr>
          <w:rFonts w:ascii="Arial" w:cs="Arial" w:eastAsia="Arial" w:hAnsi="Arial"/>
          <w:color w:val="404040"/>
          <w:sz w:val="20"/>
          <w:szCs w:val="20"/>
        </w:rPr>
        <w:t xml:space="preserve">All information technology systems, applications, databases, and platforms deployed across the Bank.</w:t>
      </w:r>
    </w:p>
    <w:p>
      <w:pPr>
        <w:pStyle w:val="ListParagraph"/>
        <w:numPr>
          <w:ilvl w:val="0"/>
          <w:numId w:val="2"/>
        </w:numPr>
        <w:spacing w:before="60" w:after="60"/>
      </w:pPr>
      <w:r>
        <w:rPr>
          <w:rFonts w:ascii="Arial" w:cs="Arial" w:eastAsia="Arial" w:hAnsi="Arial"/>
          <w:color w:val="404040"/>
          <w:sz w:val="20"/>
          <w:szCs w:val="20"/>
        </w:rPr>
        <w:t xml:space="preserve">All technology service delivery and operations management functions.</w:t>
      </w:r>
    </w:p>
    <w:p>
      <w:pPr>
        <w:pStyle w:val="ListParagraph"/>
        <w:numPr>
          <w:ilvl w:val="0"/>
          <w:numId w:val="2"/>
        </w:numPr>
        <w:spacing w:before="60" w:after="60"/>
      </w:pPr>
      <w:r>
        <w:rPr>
          <w:rFonts w:ascii="Arial" w:cs="Arial" w:eastAsia="Arial" w:hAnsi="Arial"/>
          <w:color w:val="404040"/>
          <w:sz w:val="20"/>
          <w:szCs w:val="20"/>
        </w:rPr>
        <w:t xml:space="preserve">All development, acquisition, and implementation projects for technology solutions.</w:t>
      </w:r>
    </w:p>
    <w:p>
      <w:pPr>
        <w:pStyle w:val="ListParagraph"/>
        <w:numPr>
          <w:ilvl w:val="0"/>
          <w:numId w:val="2"/>
        </w:numPr>
        <w:spacing w:before="60" w:after="60"/>
      </w:pPr>
      <w:r>
        <w:rPr>
          <w:rFonts w:ascii="Arial" w:cs="Arial" w:eastAsia="Arial" w:hAnsi="Arial"/>
          <w:color w:val="404040"/>
          <w:sz w:val="20"/>
          <w:szCs w:val="20"/>
        </w:rPr>
        <w:t xml:space="preserve">All outsourced IT services, third-party technology vendors, and cloud service providers engaged by the Bank.</w:t>
      </w:r>
    </w:p>
    <w:p>
      <w:pPr>
        <w:pStyle w:val="ListParagraph"/>
        <w:numPr>
          <w:ilvl w:val="0"/>
          <w:numId w:val="2"/>
        </w:numPr>
        <w:spacing w:before="60" w:after="60"/>
      </w:pPr>
      <w:r>
        <w:rPr>
          <w:rFonts w:ascii="Arial" w:cs="Arial" w:eastAsia="Arial" w:hAnsi="Arial"/>
          <w:color w:val="404040"/>
          <w:sz w:val="20"/>
          <w:szCs w:val="20"/>
        </w:rPr>
        <w:t xml:space="preserve">All business continuity and disaster recovery arrangements related to technology.</w:t>
      </w:r>
    </w:p>
    <w:p>
      <w:pPr>
        <w:pStyle w:val="ListParagraph"/>
        <w:numPr>
          <w:ilvl w:val="0"/>
          <w:numId w:val="2"/>
        </w:numPr>
        <w:spacing w:before="60" w:after="60"/>
      </w:pPr>
      <w:r>
        <w:rPr>
          <w:rFonts w:ascii="Arial" w:cs="Arial" w:eastAsia="Arial" w:hAnsi="Arial"/>
          <w:color w:val="404040"/>
          <w:sz w:val="20"/>
          <w:szCs w:val="20"/>
        </w:rPr>
        <w:t xml:space="preserve">All IT audit and assurance activities.</w:t>
      </w:r>
    </w:p>
    <w:p>
      <w:pPr>
        <w:pStyle w:val="ListParagraph"/>
        <w:numPr>
          <w:ilvl w:val="0"/>
          <w:numId w:val="2"/>
        </w:numPr>
        <w:spacing w:before="60" w:after="60"/>
      </w:pPr>
      <w:r>
        <w:rPr>
          <w:rFonts w:ascii="Arial" w:cs="Arial" w:eastAsia="Arial" w:hAnsi="Arial"/>
          <w:color w:val="404040"/>
          <w:sz w:val="20"/>
          <w:szCs w:val="20"/>
        </w:rPr>
        <w:t xml:space="preserve">All data and information assets processed, stored, or transmitted using the Bank's technology infrastructure.</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2.2 Applicability</w:t>
      </w:r>
    </w:p>
    <w:p>
      <w:pPr>
        <w:spacing w:before="80" w:after="80"/>
        <w:jc w:val="both"/>
      </w:pPr>
      <w:r>
        <w:rPr>
          <w:rFonts w:ascii="Arial" w:cs="Arial" w:eastAsia="Arial" w:hAnsi="Arial"/>
          <w:b w:val="false"/>
          <w:bCs w:val="false"/>
          <w:color w:val="404040"/>
          <w:sz w:val="20"/>
          <w:szCs w:val="20"/>
        </w:rPr>
        <w:t xml:space="preserve">This Framework is mandatory and applies to:</w:t>
      </w:r>
    </w:p>
    <w:p>
      <w:pPr>
        <w:pStyle w:val="ListParagraph"/>
        <w:numPr>
          <w:ilvl w:val="0"/>
          <w:numId w:val="2"/>
        </w:numPr>
        <w:spacing w:before="60" w:after="60"/>
      </w:pPr>
      <w:r>
        <w:rPr>
          <w:rFonts w:ascii="Arial" w:cs="Arial" w:eastAsia="Arial" w:hAnsi="Arial"/>
          <w:color w:val="404040"/>
          <w:sz w:val="20"/>
          <w:szCs w:val="20"/>
        </w:rPr>
        <w:t xml:space="preserve">Board of Directors and all Board-level committees with oversight responsibility for technology.</w:t>
      </w:r>
    </w:p>
    <w:p>
      <w:pPr>
        <w:pStyle w:val="ListParagraph"/>
        <w:numPr>
          <w:ilvl w:val="0"/>
          <w:numId w:val="2"/>
        </w:numPr>
        <w:spacing w:before="60" w:after="60"/>
      </w:pPr>
      <w:r>
        <w:rPr>
          <w:rFonts w:ascii="Arial" w:cs="Arial" w:eastAsia="Arial" w:hAnsi="Arial"/>
          <w:color w:val="404040"/>
          <w:sz w:val="20"/>
          <w:szCs w:val="20"/>
        </w:rPr>
        <w:t xml:space="preserve">Senior Management including the President/CEO, CIO, CISO, CRO, CFO, and all Division Heads.</w:t>
      </w:r>
    </w:p>
    <w:p>
      <w:pPr>
        <w:pStyle w:val="ListParagraph"/>
        <w:numPr>
          <w:ilvl w:val="0"/>
          <w:numId w:val="2"/>
        </w:numPr>
        <w:spacing w:before="60" w:after="60"/>
      </w:pPr>
      <w:r>
        <w:rPr>
          <w:rFonts w:ascii="Arial" w:cs="Arial" w:eastAsia="Arial" w:hAnsi="Arial"/>
          <w:color w:val="404040"/>
          <w:sz w:val="20"/>
          <w:szCs w:val="20"/>
        </w:rPr>
        <w:t xml:space="preserve">All permanent, contractual, and temporary employees of [Bank Name].</w:t>
      </w:r>
    </w:p>
    <w:p>
      <w:pPr>
        <w:pStyle w:val="ListParagraph"/>
        <w:numPr>
          <w:ilvl w:val="0"/>
          <w:numId w:val="2"/>
        </w:numPr>
        <w:spacing w:before="60" w:after="60"/>
      </w:pPr>
      <w:r>
        <w:rPr>
          <w:rFonts w:ascii="Arial" w:cs="Arial" w:eastAsia="Arial" w:hAnsi="Arial"/>
          <w:color w:val="404040"/>
          <w:sz w:val="20"/>
          <w:szCs w:val="20"/>
        </w:rPr>
        <w:t xml:space="preserve">All third-party service providers, vendors, consultants, and contractors with access to the Bank's technology resources or data.</w:t>
      </w:r>
    </w:p>
    <w:p>
      <w:pPr>
        <w:pStyle w:val="ListParagraph"/>
        <w:numPr>
          <w:ilvl w:val="0"/>
          <w:numId w:val="2"/>
        </w:numPr>
        <w:spacing w:before="60" w:after="60"/>
      </w:pPr>
      <w:r>
        <w:rPr>
          <w:rFonts w:ascii="Arial" w:cs="Arial" w:eastAsia="Arial" w:hAnsi="Arial"/>
          <w:color w:val="404040"/>
          <w:sz w:val="20"/>
          <w:szCs w:val="20"/>
        </w:rPr>
        <w:t xml:space="preserve">All subsidiaries and branches of [Bank Name] within Pakistan.</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2.3 Exclusions</w:t>
      </w:r>
    </w:p>
    <w:p>
      <w:pPr>
        <w:spacing w:before="80" w:after="80"/>
        <w:jc w:val="both"/>
      </w:pPr>
      <w:r>
        <w:rPr>
          <w:rFonts w:ascii="Arial" w:cs="Arial" w:eastAsia="Arial" w:hAnsi="Arial"/>
          <w:b w:val="false"/>
          <w:bCs w:val="false"/>
          <w:color w:val="404040"/>
          <w:sz w:val="20"/>
          <w:szCs w:val="20"/>
        </w:rPr>
        <w:t xml:space="preserve">This Framework does not supersede or replace the Bank's Corporate Governance Framework, but serves as an integrated sub-framework within the broader enterprise governance structure. Product-specific operational procedures are documented separately in relevant Standard Operating Procedures (SOPs).</w:t>
      </w:r>
    </w:p>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3. Technology Governance Framework</w:t>
      </w:r>
    </w:p>
    <w:p>
      <w:pPr>
        <w:pStyle w:val="Heading2"/>
        <w:spacing w:before="240" w:after="120"/>
      </w:pPr>
      <w:r>
        <w:rPr>
          <w:rFonts w:ascii="Arial" w:cs="Arial" w:eastAsia="Arial" w:hAnsi="Arial"/>
          <w:b/>
          <w:bCs/>
          <w:color w:val="2E75B6"/>
          <w:sz w:val="26"/>
          <w:szCs w:val="26"/>
        </w:rPr>
        <w:t xml:space="preserve">3.1 Framework Philosophy</w:t>
      </w:r>
    </w:p>
    <w:p>
      <w:pPr>
        <w:spacing w:before="80" w:after="80"/>
        <w:jc w:val="both"/>
      </w:pPr>
      <w:r>
        <w:rPr>
          <w:rFonts w:ascii="Arial" w:cs="Arial" w:eastAsia="Arial" w:hAnsi="Arial"/>
          <w:b w:val="false"/>
          <w:bCs w:val="false"/>
          <w:color w:val="404040"/>
          <w:sz w:val="20"/>
          <w:szCs w:val="20"/>
        </w:rPr>
        <w:t xml:space="preserve">The technology governance philosophy of [Bank Name] is anchored in the recognition that technology is a strategic business enabler. The Bank adopts an integrated approach to technology governance that ensures:</w:t>
      </w:r>
    </w:p>
    <w:p>
      <w:pPr>
        <w:pStyle w:val="ListParagraph"/>
        <w:numPr>
          <w:ilvl w:val="0"/>
          <w:numId w:val="2"/>
        </w:numPr>
        <w:spacing w:before="60" w:after="60"/>
      </w:pPr>
      <w:r>
        <w:rPr>
          <w:rFonts w:ascii="Arial" w:cs="Arial" w:eastAsia="Arial" w:hAnsi="Arial"/>
          <w:color w:val="404040"/>
          <w:sz w:val="20"/>
          <w:szCs w:val="20"/>
        </w:rPr>
        <w:t xml:space="preserve">Strategic alignment between IT capabilities and business objectives.</w:t>
      </w:r>
    </w:p>
    <w:p>
      <w:pPr>
        <w:pStyle w:val="ListParagraph"/>
        <w:numPr>
          <w:ilvl w:val="0"/>
          <w:numId w:val="2"/>
        </w:numPr>
        <w:spacing w:before="60" w:after="60"/>
      </w:pPr>
      <w:r>
        <w:rPr>
          <w:rFonts w:ascii="Arial" w:cs="Arial" w:eastAsia="Arial" w:hAnsi="Arial"/>
          <w:color w:val="404040"/>
          <w:sz w:val="20"/>
          <w:szCs w:val="20"/>
        </w:rPr>
        <w:t xml:space="preserve">Value delivery through disciplined investment in and management of technology assets.</w:t>
      </w:r>
    </w:p>
    <w:p>
      <w:pPr>
        <w:pStyle w:val="ListParagraph"/>
        <w:numPr>
          <w:ilvl w:val="0"/>
          <w:numId w:val="2"/>
        </w:numPr>
        <w:spacing w:before="60" w:after="60"/>
      </w:pPr>
      <w:r>
        <w:rPr>
          <w:rFonts w:ascii="Arial" w:cs="Arial" w:eastAsia="Arial" w:hAnsi="Arial"/>
          <w:color w:val="404040"/>
          <w:sz w:val="20"/>
          <w:szCs w:val="20"/>
        </w:rPr>
        <w:t xml:space="preserve">Risk management through proactive identification, assessment, and mitigation of technology risks.</w:t>
      </w:r>
    </w:p>
    <w:p>
      <w:pPr>
        <w:pStyle w:val="ListParagraph"/>
        <w:numPr>
          <w:ilvl w:val="0"/>
          <w:numId w:val="2"/>
        </w:numPr>
        <w:spacing w:before="60" w:after="60"/>
      </w:pPr>
      <w:r>
        <w:rPr>
          <w:rFonts w:ascii="Arial" w:cs="Arial" w:eastAsia="Arial" w:hAnsi="Arial"/>
          <w:color w:val="404040"/>
          <w:sz w:val="20"/>
          <w:szCs w:val="20"/>
        </w:rPr>
        <w:t xml:space="preserve">Resource optimization ensuring technology resources are used effectively and efficiently.</w:t>
      </w:r>
    </w:p>
    <w:p>
      <w:pPr>
        <w:pStyle w:val="ListParagraph"/>
        <w:numPr>
          <w:ilvl w:val="0"/>
          <w:numId w:val="2"/>
        </w:numPr>
        <w:spacing w:before="60" w:after="60"/>
      </w:pPr>
      <w:r>
        <w:rPr>
          <w:rFonts w:ascii="Arial" w:cs="Arial" w:eastAsia="Arial" w:hAnsi="Arial"/>
          <w:color w:val="404040"/>
          <w:sz w:val="20"/>
          <w:szCs w:val="20"/>
        </w:rPr>
        <w:t xml:space="preserve">Performance measurement through defined KPIs, MIS reporting, and periodic reviews.</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3.2 Governance Principles</w:t>
      </w:r>
    </w:p>
    <w:p>
      <w:pPr>
        <w:spacing w:before="80" w:after="80"/>
        <w:jc w:val="both"/>
      </w:pPr>
      <w:r>
        <w:rPr>
          <w:rFonts w:ascii="Arial" w:cs="Arial" w:eastAsia="Arial" w:hAnsi="Arial"/>
          <w:b w:val="false"/>
          <w:bCs w:val="false"/>
          <w:color w:val="404040"/>
          <w:sz w:val="20"/>
          <w:szCs w:val="20"/>
        </w:rPr>
        <w:t xml:space="preserve">The following principles shall govern all technology-related decisions and activities at [Bank Name]:</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04040"/>
                <w:sz w:val="20"/>
                <w:szCs w:val="20"/>
              </w:rPr>
              <w:t xml:space="preserve">Accountability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Clear ownership and accountability for technology decisions at all levels of the organization.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04040"/>
                <w:sz w:val="20"/>
                <w:szCs w:val="20"/>
              </w:rPr>
              <w:t xml:space="preserve">Transparency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Technology governance activities, decisions, and outcomes are documented and reported to relevant stakeholders.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04040"/>
                <w:sz w:val="20"/>
                <w:szCs w:val="20"/>
              </w:rPr>
              <w:t xml:space="preserve">Risk-Based Approach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Technology decisions and controls are proportionate to the risk level and complexity of the technology environment.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04040"/>
                <w:sz w:val="20"/>
                <w:szCs w:val="20"/>
              </w:rPr>
              <w:t xml:space="preserve">Business Alignment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All technology investments and initiatives are directly tied to business objectives and value delivery.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04040"/>
                <w:sz w:val="20"/>
                <w:szCs w:val="20"/>
              </w:rPr>
              <w:t xml:space="preserve">Continuous Improvement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Governance processes are regularly reviewed and improved based on audit findings, risk assessments, and industry developments.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04040"/>
                <w:sz w:val="20"/>
                <w:szCs w:val="20"/>
              </w:rPr>
              <w:t xml:space="preserve">Compliance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All technology activities comply with applicable laws, regulations, and SBP directives.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04040"/>
                <w:sz w:val="20"/>
                <w:szCs w:val="20"/>
              </w:rPr>
              <w:t xml:space="preserve">Segregation of Duties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Roles and responsibilities are defined to prevent conflicts of interest, particularly between IT operations and information security.</w:t>
            </w:r>
          </w:p>
        </w:tc>
      </w:tr>
    </w:tbl>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4. Roles and Responsibilities</w:t>
      </w:r>
    </w:p>
    <w:p>
      <w:pPr>
        <w:pStyle w:val="Heading2"/>
        <w:spacing w:before="240" w:after="120"/>
      </w:pPr>
      <w:r>
        <w:rPr>
          <w:rFonts w:ascii="Arial" w:cs="Arial" w:eastAsia="Arial" w:hAnsi="Arial"/>
          <w:b/>
          <w:bCs/>
          <w:color w:val="2E75B6"/>
          <w:sz w:val="26"/>
          <w:szCs w:val="26"/>
        </w:rPr>
        <w:t xml:space="preserve">4.1 Board of Directors (BoD)</w:t>
      </w:r>
    </w:p>
    <w:p>
      <w:pPr>
        <w:spacing w:before="80" w:after="80"/>
        <w:jc w:val="both"/>
      </w:pPr>
      <w:r>
        <w:rPr>
          <w:rFonts w:ascii="Arial" w:cs="Arial" w:eastAsia="Arial" w:hAnsi="Arial"/>
          <w:b w:val="false"/>
          <w:bCs w:val="false"/>
          <w:color w:val="404040"/>
          <w:sz w:val="20"/>
          <w:szCs w:val="20"/>
        </w:rPr>
        <w:t xml:space="preserve">The Board of Directors bears ultimate responsibility for the technology governance of [Bank Name]. In discharging this responsibility, the Board shall:</w:t>
      </w:r>
    </w:p>
    <w:p>
      <w:pPr>
        <w:pStyle w:val="ListParagraph"/>
        <w:numPr>
          <w:ilvl w:val="0"/>
          <w:numId w:val="2"/>
        </w:numPr>
        <w:spacing w:before="60" w:after="60"/>
      </w:pPr>
      <w:r>
        <w:rPr>
          <w:rFonts w:ascii="Arial" w:cs="Arial" w:eastAsia="Arial" w:hAnsi="Arial"/>
          <w:color w:val="404040"/>
          <w:sz w:val="20"/>
          <w:szCs w:val="20"/>
        </w:rPr>
        <w:t xml:space="preserve">Review, approve, and periodically update the Enterprise Technology Governance Framework.</w:t>
      </w:r>
    </w:p>
    <w:p>
      <w:pPr>
        <w:pStyle w:val="ListParagraph"/>
        <w:numPr>
          <w:ilvl w:val="0"/>
          <w:numId w:val="2"/>
        </w:numPr>
        <w:spacing w:before="60" w:after="60"/>
      </w:pPr>
      <w:r>
        <w:rPr>
          <w:rFonts w:ascii="Arial" w:cs="Arial" w:eastAsia="Arial" w:hAnsi="Arial"/>
          <w:color w:val="404040"/>
          <w:sz w:val="20"/>
          <w:szCs w:val="20"/>
        </w:rPr>
        <w:t xml:space="preserve">Review and approve the IT Strategy and Digital Strategy in alignment with the Bank's overall business strategy, and monitor their implementation on a regular basis.</w:t>
      </w:r>
    </w:p>
    <w:p>
      <w:pPr>
        <w:pStyle w:val="ListParagraph"/>
        <w:numPr>
          <w:ilvl w:val="0"/>
          <w:numId w:val="2"/>
        </w:numPr>
        <w:spacing w:before="60" w:after="60"/>
      </w:pPr>
      <w:r>
        <w:rPr>
          <w:rFonts w:ascii="Arial" w:cs="Arial" w:eastAsia="Arial" w:hAnsi="Arial"/>
          <w:color w:val="404040"/>
          <w:sz w:val="20"/>
          <w:szCs w:val="20"/>
        </w:rPr>
        <w:t xml:space="preserve">Establish and maintain an efficient and effective IT organizational structure consistent with the Technology Governance Framework.</w:t>
      </w:r>
    </w:p>
    <w:p>
      <w:pPr>
        <w:pStyle w:val="ListParagraph"/>
        <w:numPr>
          <w:ilvl w:val="0"/>
          <w:numId w:val="2"/>
        </w:numPr>
        <w:spacing w:before="60" w:after="60"/>
      </w:pPr>
      <w:r>
        <w:rPr>
          <w:rFonts w:ascii="Arial" w:cs="Arial" w:eastAsia="Arial" w:hAnsi="Arial"/>
          <w:color w:val="404040"/>
          <w:sz w:val="20"/>
          <w:szCs w:val="20"/>
        </w:rPr>
        <w:t xml:space="preserve">Ensure that technology risks are fully integrated into the enterprise-wide risk management function to achieve security, reliability, resilience, interoperability, and recoverability of data and information assets.</w:t>
      </w:r>
    </w:p>
    <w:p>
      <w:pPr>
        <w:pStyle w:val="ListParagraph"/>
        <w:numPr>
          <w:ilvl w:val="0"/>
          <w:numId w:val="2"/>
        </w:numPr>
        <w:spacing w:before="60" w:after="60"/>
      </w:pPr>
      <w:r>
        <w:rPr>
          <w:rFonts w:ascii="Arial" w:cs="Arial" w:eastAsia="Arial" w:hAnsi="Arial"/>
          <w:color w:val="404040"/>
          <w:sz w:val="20"/>
          <w:szCs w:val="20"/>
        </w:rPr>
        <w:t xml:space="preserve">Approve all technology-related policies and review them at least once every three (3) years, or more frequently in light of major technological or regulatory developments.</w:t>
      </w:r>
    </w:p>
    <w:p>
      <w:pPr>
        <w:pStyle w:val="ListParagraph"/>
        <w:numPr>
          <w:ilvl w:val="0"/>
          <w:numId w:val="2"/>
        </w:numPr>
        <w:spacing w:before="60" w:after="60"/>
      </w:pPr>
      <w:r>
        <w:rPr>
          <w:rFonts w:ascii="Arial" w:cs="Arial" w:eastAsia="Arial" w:hAnsi="Arial"/>
          <w:color w:val="404040"/>
          <w:sz w:val="20"/>
          <w:szCs w:val="20"/>
        </w:rPr>
        <w:t xml:space="preserve">Ensure that an independent and effective technology audit function is maintained, commensurate with the complexity of the Bank's technology risk profile.</w:t>
      </w:r>
    </w:p>
    <w:p>
      <w:pPr>
        <w:pStyle w:val="ListParagraph"/>
        <w:numPr>
          <w:ilvl w:val="0"/>
          <w:numId w:val="2"/>
        </w:numPr>
        <w:spacing w:before="60" w:after="60"/>
      </w:pPr>
      <w:r>
        <w:rPr>
          <w:rFonts w:ascii="Arial" w:cs="Arial" w:eastAsia="Arial" w:hAnsi="Arial"/>
          <w:color w:val="404040"/>
          <w:sz w:val="20"/>
          <w:szCs w:val="20"/>
        </w:rPr>
        <w:t xml:space="preserve">Ensure that resource gaps in people, processes, and technology identified by management are adequately and timely addressed.</w:t>
      </w:r>
    </w:p>
    <w:p>
      <w:pPr>
        <w:pStyle w:val="ListParagraph"/>
        <w:numPr>
          <w:ilvl w:val="0"/>
          <w:numId w:val="2"/>
        </w:numPr>
        <w:spacing w:before="60" w:after="60"/>
      </w:pPr>
      <w:r>
        <w:rPr>
          <w:rFonts w:ascii="Arial" w:cs="Arial" w:eastAsia="Arial" w:hAnsi="Arial"/>
          <w:color w:val="404040"/>
          <w:sz w:val="20"/>
          <w:szCs w:val="20"/>
        </w:rPr>
        <w:t xml:space="preserve">Approve and receive periodic updates on major technology-related projects that may have a significant impact on the Bank's operations, earnings, or capital.</w:t>
      </w:r>
    </w:p>
    <w:p>
      <w:pPr>
        <w:pStyle w:val="ListParagraph"/>
        <w:numPr>
          <w:ilvl w:val="0"/>
          <w:numId w:val="2"/>
        </w:numPr>
        <w:spacing w:before="60" w:after="60"/>
      </w:pPr>
      <w:r>
        <w:rPr>
          <w:rFonts w:ascii="Arial" w:cs="Arial" w:eastAsia="Arial" w:hAnsi="Arial"/>
          <w:color w:val="404040"/>
          <w:sz w:val="20"/>
          <w:szCs w:val="20"/>
        </w:rPr>
        <w:t xml:space="preserve">Define criteria for classifying projects as 'major' for the purpose of Board-level oversight.</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4.2 Board IT Committee</w:t>
      </w:r>
    </w:p>
    <w:p>
      <w:pPr>
        <w:spacing w:before="80" w:after="80"/>
        <w:jc w:val="both"/>
      </w:pPr>
      <w:r>
        <w:rPr>
          <w:rFonts w:ascii="Arial" w:cs="Arial" w:eastAsia="Arial" w:hAnsi="Arial"/>
          <w:b w:val="false"/>
          <w:bCs w:val="false"/>
          <w:color w:val="404040"/>
          <w:sz w:val="20"/>
          <w:szCs w:val="20"/>
        </w:rPr>
        <w:t xml:space="preserve">The Board IT Committee (BITC) is established as a sub-committee of the Board of Directors. The BITC shall:</w:t>
      </w:r>
    </w:p>
    <w:p>
      <w:pPr>
        <w:pStyle w:val="ListParagraph"/>
        <w:numPr>
          <w:ilvl w:val="0"/>
          <w:numId w:val="2"/>
        </w:numPr>
        <w:spacing w:before="60" w:after="60"/>
      </w:pPr>
      <w:r>
        <w:rPr>
          <w:rFonts w:ascii="Arial" w:cs="Arial" w:eastAsia="Arial" w:hAnsi="Arial"/>
          <w:color w:val="404040"/>
          <w:sz w:val="20"/>
          <w:szCs w:val="20"/>
        </w:rPr>
        <w:t xml:space="preserve">Comprise a minimum of three (3) directors, including at least one (1) independent director and at least one (1) member with relevant IT qualification or experience.</w:t>
      </w:r>
    </w:p>
    <w:p>
      <w:pPr>
        <w:pStyle w:val="ListParagraph"/>
        <w:numPr>
          <w:ilvl w:val="0"/>
          <w:numId w:val="2"/>
        </w:numPr>
        <w:spacing w:before="60" w:after="60"/>
      </w:pPr>
      <w:r>
        <w:rPr>
          <w:rFonts w:ascii="Arial" w:cs="Arial" w:eastAsia="Arial" w:hAnsi="Arial"/>
          <w:color w:val="404040"/>
          <w:sz w:val="20"/>
          <w:szCs w:val="20"/>
        </w:rPr>
        <w:t xml:space="preserve">Advise and report to the Board on the status of technology activities and digital initiatives.</w:t>
      </w:r>
    </w:p>
    <w:p>
      <w:pPr>
        <w:pStyle w:val="ListParagraph"/>
        <w:numPr>
          <w:ilvl w:val="0"/>
          <w:numId w:val="2"/>
        </w:numPr>
        <w:spacing w:before="60" w:after="60"/>
      </w:pPr>
      <w:r>
        <w:rPr>
          <w:rFonts w:ascii="Arial" w:cs="Arial" w:eastAsia="Arial" w:hAnsi="Arial"/>
          <w:color w:val="404040"/>
          <w:sz w:val="20"/>
          <w:szCs w:val="20"/>
        </w:rPr>
        <w:t xml:space="preserve">Review IT and Digital Strategies and relevant policies before submission to the Board for approval.</w:t>
      </w:r>
    </w:p>
    <w:p>
      <w:pPr>
        <w:pStyle w:val="ListParagraph"/>
        <w:numPr>
          <w:ilvl w:val="0"/>
          <w:numId w:val="2"/>
        </w:numPr>
        <w:spacing w:before="60" w:after="60"/>
      </w:pPr>
      <w:r>
        <w:rPr>
          <w:rFonts w:ascii="Arial" w:cs="Arial" w:eastAsia="Arial" w:hAnsi="Arial"/>
          <w:color w:val="404040"/>
          <w:sz w:val="20"/>
          <w:szCs w:val="20"/>
        </w:rPr>
        <w:t xml:space="preserve">Ensure that risk management strategies are designed and implemented to achieve resilience, including the ability to effectively respond to wide-scale disruptions such as cyber attacks.</w:t>
      </w:r>
    </w:p>
    <w:p>
      <w:pPr>
        <w:pStyle w:val="ListParagraph"/>
        <w:numPr>
          <w:ilvl w:val="0"/>
          <w:numId w:val="2"/>
        </w:numPr>
        <w:spacing w:before="60" w:after="60"/>
      </w:pPr>
      <w:r>
        <w:rPr>
          <w:rFonts w:ascii="Arial" w:cs="Arial" w:eastAsia="Arial" w:hAnsi="Arial"/>
          <w:color w:val="404040"/>
          <w:sz w:val="20"/>
          <w:szCs w:val="20"/>
        </w:rPr>
        <w:t xml:space="preserve">Receive periodic updates from the IT Steering Committee to monitor all technology-related projects approved by the Board.</w:t>
      </w:r>
    </w:p>
    <w:p>
      <w:pPr>
        <w:pStyle w:val="ListParagraph"/>
        <w:numPr>
          <w:ilvl w:val="0"/>
          <w:numId w:val="2"/>
        </w:numPr>
        <w:spacing w:before="60" w:after="60"/>
      </w:pPr>
      <w:r>
        <w:rPr>
          <w:rFonts w:ascii="Arial" w:cs="Arial" w:eastAsia="Arial" w:hAnsi="Arial"/>
          <w:color w:val="404040"/>
          <w:sz w:val="20"/>
          <w:szCs w:val="20"/>
        </w:rPr>
        <w:t xml:space="preserve">Ensure that technology procurements are aligned with the IT strategy approved by the Board.</w:t>
      </w:r>
    </w:p>
    <w:p>
      <w:pPr>
        <w:pStyle w:val="ListParagraph"/>
        <w:numPr>
          <w:ilvl w:val="0"/>
          <w:numId w:val="2"/>
        </w:numPr>
        <w:spacing w:before="60" w:after="60"/>
      </w:pPr>
      <w:r>
        <w:rPr>
          <w:rFonts w:ascii="Arial" w:cs="Arial" w:eastAsia="Arial" w:hAnsi="Arial"/>
          <w:color w:val="404040"/>
          <w:sz w:val="20"/>
          <w:szCs w:val="20"/>
        </w:rPr>
        <w:t xml:space="preserve">Seek independent expert opinion when deemed necessary on complex technology matters.</w:t>
      </w:r>
    </w:p>
    <w:p>
      <w:pPr>
        <w:pStyle w:val="ListParagraph"/>
        <w:numPr>
          <w:ilvl w:val="0"/>
          <w:numId w:val="2"/>
        </w:numPr>
        <w:spacing w:before="60" w:after="60"/>
      </w:pPr>
      <w:r>
        <w:rPr>
          <w:rFonts w:ascii="Arial" w:cs="Arial" w:eastAsia="Arial" w:hAnsi="Arial"/>
          <w:color w:val="404040"/>
          <w:sz w:val="20"/>
          <w:szCs w:val="20"/>
        </w:rPr>
        <w:t xml:space="preserve">Meet at least quarterly, with additional meetings as required.</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4.3 Senior Management</w:t>
      </w:r>
    </w:p>
    <w:p>
      <w:pPr>
        <w:spacing w:before="80" w:after="80"/>
        <w:jc w:val="both"/>
      </w:pPr>
      <w:r>
        <w:rPr>
          <w:rFonts w:ascii="Arial" w:cs="Arial" w:eastAsia="Arial" w:hAnsi="Arial"/>
          <w:b w:val="false"/>
          <w:bCs w:val="false"/>
          <w:color w:val="404040"/>
          <w:sz w:val="20"/>
          <w:szCs w:val="20"/>
        </w:rPr>
        <w:t xml:space="preserve">Senior Management, led by the President/CEO, is responsible for implementing the technology governance framework approved by the Board. Senior Management shall:</w:t>
      </w:r>
    </w:p>
    <w:p>
      <w:pPr>
        <w:pStyle w:val="ListParagraph"/>
        <w:numPr>
          <w:ilvl w:val="0"/>
          <w:numId w:val="2"/>
        </w:numPr>
        <w:spacing w:before="60" w:after="60"/>
      </w:pPr>
      <w:r>
        <w:rPr>
          <w:rFonts w:ascii="Arial" w:cs="Arial" w:eastAsia="Arial" w:hAnsi="Arial"/>
          <w:color w:val="404040"/>
          <w:sz w:val="20"/>
          <w:szCs w:val="20"/>
        </w:rPr>
        <w:t xml:space="preserve">Implement the IT Strategy and Digital Strategy approved by the Board.</w:t>
      </w:r>
    </w:p>
    <w:p>
      <w:pPr>
        <w:pStyle w:val="ListParagraph"/>
        <w:numPr>
          <w:ilvl w:val="0"/>
          <w:numId w:val="2"/>
        </w:numPr>
        <w:spacing w:before="60" w:after="60"/>
      </w:pPr>
      <w:r>
        <w:rPr>
          <w:rFonts w:ascii="Arial" w:cs="Arial" w:eastAsia="Arial" w:hAnsi="Arial"/>
          <w:color w:val="404040"/>
          <w:sz w:val="20"/>
          <w:szCs w:val="20"/>
        </w:rPr>
        <w:t xml:space="preserve">Monitor the implementation of the technology governance program and assess its effectiveness across business lines and processes.</w:t>
      </w:r>
    </w:p>
    <w:p>
      <w:pPr>
        <w:pStyle w:val="ListParagraph"/>
        <w:numPr>
          <w:ilvl w:val="0"/>
          <w:numId w:val="2"/>
        </w:numPr>
        <w:spacing w:before="60" w:after="60"/>
      </w:pPr>
      <w:r>
        <w:rPr>
          <w:rFonts w:ascii="Arial" w:cs="Arial" w:eastAsia="Arial" w:hAnsi="Arial"/>
          <w:color w:val="404040"/>
          <w:sz w:val="20"/>
          <w:szCs w:val="20"/>
        </w:rPr>
        <w:t xml:space="preserve">Implement Board-approved technology-related policies and ensure an effective information security awareness program is in place throughout the organization.</w:t>
      </w:r>
    </w:p>
    <w:p>
      <w:pPr>
        <w:pStyle w:val="ListParagraph"/>
        <w:numPr>
          <w:ilvl w:val="0"/>
          <w:numId w:val="2"/>
        </w:numPr>
        <w:spacing w:before="60" w:after="60"/>
      </w:pPr>
      <w:r>
        <w:rPr>
          <w:rFonts w:ascii="Arial" w:cs="Arial" w:eastAsia="Arial" w:hAnsi="Arial"/>
          <w:color w:val="404040"/>
          <w:sz w:val="20"/>
          <w:szCs w:val="20"/>
        </w:rPr>
        <w:t xml:space="preserve">Periodically inform the Board on the latest developments concerning the cyber security action plan, its implementation status, and a summary of major threats and attacks.</w:t>
      </w:r>
    </w:p>
    <w:p>
      <w:pPr>
        <w:pStyle w:val="ListParagraph"/>
        <w:numPr>
          <w:ilvl w:val="0"/>
          <w:numId w:val="2"/>
        </w:numPr>
        <w:spacing w:before="60" w:after="60"/>
      </w:pPr>
      <w:r>
        <w:rPr>
          <w:rFonts w:ascii="Arial" w:cs="Arial" w:eastAsia="Arial" w:hAnsi="Arial"/>
          <w:color w:val="404040"/>
          <w:sz w:val="20"/>
          <w:szCs w:val="20"/>
        </w:rPr>
        <w:t xml:space="preserve">Ensure that documented Standard Operating Procedures (SOPs) are in place and effectively followed across all areas of technology operations.</w:t>
      </w:r>
    </w:p>
    <w:p>
      <w:pPr>
        <w:pStyle w:val="ListParagraph"/>
        <w:numPr>
          <w:ilvl w:val="0"/>
          <w:numId w:val="2"/>
        </w:numPr>
        <w:spacing w:before="60" w:after="60"/>
      </w:pPr>
      <w:r>
        <w:rPr>
          <w:rFonts w:ascii="Arial" w:cs="Arial" w:eastAsia="Arial" w:hAnsi="Arial"/>
          <w:color w:val="404040"/>
          <w:sz w:val="20"/>
          <w:szCs w:val="20"/>
        </w:rPr>
        <w:t xml:space="preserve">Ensure capacity building of IT personnel to achieve desired service delivery and operational excellence.</w:t>
      </w:r>
    </w:p>
    <w:p>
      <w:pPr>
        <w:pStyle w:val="ListParagraph"/>
        <w:numPr>
          <w:ilvl w:val="0"/>
          <w:numId w:val="2"/>
        </w:numPr>
        <w:spacing w:before="60" w:after="60"/>
      </w:pPr>
      <w:r>
        <w:rPr>
          <w:rFonts w:ascii="Arial" w:cs="Arial" w:eastAsia="Arial" w:hAnsi="Arial"/>
          <w:color w:val="404040"/>
          <w:sz w:val="20"/>
          <w:szCs w:val="20"/>
        </w:rPr>
        <w:t xml:space="preserve">Select technology solutions that can meet strategic requirements within optimum resource constraints.</w:t>
      </w:r>
    </w:p>
    <w:p>
      <w:pPr>
        <w:pStyle w:val="ListParagraph"/>
        <w:numPr>
          <w:ilvl w:val="0"/>
          <w:numId w:val="2"/>
        </w:numPr>
        <w:spacing w:before="60" w:after="60"/>
      </w:pPr>
      <w:r>
        <w:rPr>
          <w:rFonts w:ascii="Arial" w:cs="Arial" w:eastAsia="Arial" w:hAnsi="Arial"/>
          <w:color w:val="404040"/>
          <w:sz w:val="20"/>
          <w:szCs w:val="20"/>
        </w:rPr>
        <w:t xml:space="preserve">Ensure an effective mechanism is in place to monitor completion of technology projects with adequate resources.</w:t>
      </w:r>
    </w:p>
    <w:p>
      <w:pPr>
        <w:pStyle w:val="ListParagraph"/>
        <w:numPr>
          <w:ilvl w:val="0"/>
          <w:numId w:val="2"/>
        </w:numPr>
        <w:spacing w:before="60" w:after="60"/>
      </w:pPr>
      <w:r>
        <w:rPr>
          <w:rFonts w:ascii="Arial" w:cs="Arial" w:eastAsia="Arial" w:hAnsi="Arial"/>
          <w:color w:val="404040"/>
          <w:sz w:val="20"/>
          <w:szCs w:val="20"/>
        </w:rPr>
        <w:t xml:space="preserve">Identify, measure, monitor, and control risks associated with technology-related outsourcing arrangements, including cloud services.</w:t>
      </w:r>
    </w:p>
    <w:p>
      <w:pPr>
        <w:pStyle w:val="ListParagraph"/>
        <w:numPr>
          <w:ilvl w:val="0"/>
          <w:numId w:val="2"/>
        </w:numPr>
        <w:spacing w:before="60" w:after="60"/>
      </w:pPr>
      <w:r>
        <w:rPr>
          <w:rFonts w:ascii="Arial" w:cs="Arial" w:eastAsia="Arial" w:hAnsi="Arial"/>
          <w:color w:val="404040"/>
          <w:sz w:val="20"/>
          <w:szCs w:val="20"/>
        </w:rPr>
        <w:t xml:space="preserve">Develop, conduct, and maintain Disaster Recovery and Business Continuity Plans with documented testing results.</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4.4 IT Steering Committee</w:t>
      </w:r>
    </w:p>
    <w:p>
      <w:pPr>
        <w:spacing w:before="80" w:after="80"/>
        <w:jc w:val="both"/>
      </w:pPr>
      <w:r>
        <w:rPr>
          <w:rFonts w:ascii="Arial" w:cs="Arial" w:eastAsia="Arial" w:hAnsi="Arial"/>
          <w:b w:val="false"/>
          <w:bCs w:val="false"/>
          <w:color w:val="404040"/>
          <w:sz w:val="20"/>
          <w:szCs w:val="20"/>
        </w:rPr>
        <w:t xml:space="preserve">The IT Steering Committee (ITSC) is established as a management-level committee responsible for the operational implementation of the technology governance framework. The ITSC shall:</w:t>
      </w:r>
    </w:p>
    <w:p>
      <w:pPr>
        <w:pStyle w:val="ListParagraph"/>
        <w:numPr>
          <w:ilvl w:val="0"/>
          <w:numId w:val="2"/>
        </w:numPr>
        <w:spacing w:before="60" w:after="60"/>
      </w:pPr>
      <w:r>
        <w:rPr>
          <w:rFonts w:ascii="Arial" w:cs="Arial" w:eastAsia="Arial" w:hAnsi="Arial"/>
          <w:color w:val="404040"/>
          <w:sz w:val="20"/>
          <w:szCs w:val="20"/>
        </w:rPr>
        <w:t xml:space="preserve">Comprise senior officials from IT, Information Security, Risk Management, Compliance, Operations, and Business Segments.</w:t>
      </w:r>
    </w:p>
    <w:p>
      <w:pPr>
        <w:pStyle w:val="ListParagraph"/>
        <w:numPr>
          <w:ilvl w:val="0"/>
          <w:numId w:val="2"/>
        </w:numPr>
        <w:spacing w:before="60" w:after="60"/>
      </w:pPr>
      <w:r>
        <w:rPr>
          <w:rFonts w:ascii="Arial" w:cs="Arial" w:eastAsia="Arial" w:hAnsi="Arial"/>
          <w:color w:val="404040"/>
          <w:sz w:val="20"/>
          <w:szCs w:val="20"/>
        </w:rPr>
        <w:t xml:space="preserve">Assist senior management in implementing IT and Digital Strategies approved by the Board.</w:t>
      </w:r>
    </w:p>
    <w:p>
      <w:pPr>
        <w:pStyle w:val="ListParagraph"/>
        <w:numPr>
          <w:ilvl w:val="0"/>
          <w:numId w:val="2"/>
        </w:numPr>
        <w:spacing w:before="60" w:after="60"/>
      </w:pPr>
      <w:r>
        <w:rPr>
          <w:rFonts w:ascii="Arial" w:cs="Arial" w:eastAsia="Arial" w:hAnsi="Arial"/>
          <w:color w:val="404040"/>
          <w:sz w:val="20"/>
          <w:szCs w:val="20"/>
        </w:rPr>
        <w:t xml:space="preserve">Monitor implementation of all technology-related projects and report status to the Board IT Committee.</w:t>
      </w:r>
    </w:p>
    <w:p>
      <w:pPr>
        <w:pStyle w:val="ListParagraph"/>
        <w:numPr>
          <w:ilvl w:val="0"/>
          <w:numId w:val="2"/>
        </w:numPr>
        <w:spacing w:before="60" w:after="60"/>
      </w:pPr>
      <w:r>
        <w:rPr>
          <w:rFonts w:ascii="Arial" w:cs="Arial" w:eastAsia="Arial" w:hAnsi="Arial"/>
          <w:color w:val="404040"/>
          <w:sz w:val="20"/>
          <w:szCs w:val="20"/>
        </w:rPr>
        <w:t xml:space="preserve">Ensure IT procurement is aligned with the business plan and IT Strategy.</w:t>
      </w:r>
    </w:p>
    <w:p>
      <w:pPr>
        <w:pStyle w:val="ListParagraph"/>
        <w:numPr>
          <w:ilvl w:val="0"/>
          <w:numId w:val="2"/>
        </w:numPr>
        <w:spacing w:before="60" w:after="60"/>
      </w:pPr>
      <w:r>
        <w:rPr>
          <w:rFonts w:ascii="Arial" w:cs="Arial" w:eastAsia="Arial" w:hAnsi="Arial"/>
          <w:color w:val="404040"/>
          <w:sz w:val="20"/>
          <w:szCs w:val="20"/>
        </w:rPr>
        <w:t xml:space="preserve">Ensure that outsourcing to Cloud Service Providers (CSPs) is conducted in line with Service Level Agreements.</w:t>
      </w:r>
    </w:p>
    <w:p>
      <w:pPr>
        <w:pStyle w:val="ListParagraph"/>
        <w:numPr>
          <w:ilvl w:val="0"/>
          <w:numId w:val="2"/>
        </w:numPr>
        <w:spacing w:before="60" w:after="60"/>
      </w:pPr>
      <w:r>
        <w:rPr>
          <w:rFonts w:ascii="Arial" w:cs="Arial" w:eastAsia="Arial" w:hAnsi="Arial"/>
          <w:color w:val="404040"/>
          <w:sz w:val="20"/>
          <w:szCs w:val="20"/>
        </w:rPr>
        <w:t xml:space="preserve">Review and determine adequacy of the Bank's training plan, including information and cyber security training for staff.</w:t>
      </w:r>
    </w:p>
    <w:p>
      <w:pPr>
        <w:pStyle w:val="ListParagraph"/>
        <w:numPr>
          <w:ilvl w:val="0"/>
          <w:numId w:val="2"/>
        </w:numPr>
        <w:spacing w:before="60" w:after="60"/>
      </w:pPr>
      <w:r>
        <w:rPr>
          <w:rFonts w:ascii="Arial" w:cs="Arial" w:eastAsia="Arial" w:hAnsi="Arial"/>
          <w:color w:val="404040"/>
          <w:sz w:val="20"/>
          <w:szCs w:val="20"/>
        </w:rPr>
        <w:t xml:space="preserve">Meet at least monthly, with additional meetings as required.</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4.5 Chief Information Officer (CIO)</w:t>
      </w:r>
    </w:p>
    <w:p>
      <w:pPr>
        <w:spacing w:before="80" w:after="80"/>
        <w:jc w:val="both"/>
      </w:pPr>
      <w:r>
        <w:rPr>
          <w:rFonts w:ascii="Arial" w:cs="Arial" w:eastAsia="Arial" w:hAnsi="Arial"/>
          <w:b w:val="false"/>
          <w:bCs w:val="false"/>
          <w:color w:val="404040"/>
          <w:sz w:val="20"/>
          <w:szCs w:val="20"/>
        </w:rPr>
        <w:t xml:space="preserve">The CIO is the executive responsible for the planning, implementation, and oversight of the Bank's IT function. The CIO shall:</w:t>
      </w:r>
    </w:p>
    <w:p>
      <w:pPr>
        <w:pStyle w:val="ListParagraph"/>
        <w:numPr>
          <w:ilvl w:val="0"/>
          <w:numId w:val="2"/>
        </w:numPr>
        <w:spacing w:before="60" w:after="60"/>
      </w:pPr>
      <w:r>
        <w:rPr>
          <w:rFonts w:ascii="Arial" w:cs="Arial" w:eastAsia="Arial" w:hAnsi="Arial"/>
          <w:color w:val="404040"/>
          <w:sz w:val="20"/>
          <w:szCs w:val="20"/>
        </w:rPr>
        <w:t xml:space="preserve">Lead the development and execution of the IT Strategy and Digital Strategy.</w:t>
      </w:r>
    </w:p>
    <w:p>
      <w:pPr>
        <w:pStyle w:val="ListParagraph"/>
        <w:numPr>
          <w:ilvl w:val="0"/>
          <w:numId w:val="2"/>
        </w:numPr>
        <w:spacing w:before="60" w:after="60"/>
      </w:pPr>
      <w:r>
        <w:rPr>
          <w:rFonts w:ascii="Arial" w:cs="Arial" w:eastAsia="Arial" w:hAnsi="Arial"/>
          <w:color w:val="404040"/>
          <w:sz w:val="20"/>
          <w:szCs w:val="20"/>
        </w:rPr>
        <w:t xml:space="preserve">Oversee all IT operations, service delivery, project management, and technology acquisitions.</w:t>
      </w:r>
    </w:p>
    <w:p>
      <w:pPr>
        <w:pStyle w:val="ListParagraph"/>
        <w:numPr>
          <w:ilvl w:val="0"/>
          <w:numId w:val="2"/>
        </w:numPr>
        <w:spacing w:before="60" w:after="60"/>
      </w:pPr>
      <w:r>
        <w:rPr>
          <w:rFonts w:ascii="Arial" w:cs="Arial" w:eastAsia="Arial" w:hAnsi="Arial"/>
          <w:color w:val="404040"/>
          <w:sz w:val="20"/>
          <w:szCs w:val="20"/>
        </w:rPr>
        <w:t xml:space="preserve">Chair the IT Steering Committee and report to the President/CEO and Board IT Committee.</w:t>
      </w:r>
    </w:p>
    <w:p>
      <w:pPr>
        <w:pStyle w:val="ListParagraph"/>
        <w:numPr>
          <w:ilvl w:val="0"/>
          <w:numId w:val="2"/>
        </w:numPr>
        <w:spacing w:before="60" w:after="60"/>
      </w:pPr>
      <w:r>
        <w:rPr>
          <w:rFonts w:ascii="Arial" w:cs="Arial" w:eastAsia="Arial" w:hAnsi="Arial"/>
          <w:color w:val="404040"/>
          <w:sz w:val="20"/>
          <w:szCs w:val="20"/>
        </w:rPr>
        <w:t xml:space="preserve">Ensure that all technology operations comply with regulatory requirements and internal policies.</w:t>
      </w:r>
    </w:p>
    <w:p>
      <w:pPr>
        <w:pStyle w:val="ListParagraph"/>
        <w:numPr>
          <w:ilvl w:val="0"/>
          <w:numId w:val="2"/>
        </w:numPr>
        <w:spacing w:before="60" w:after="60"/>
      </w:pPr>
      <w:r>
        <w:rPr>
          <w:rFonts w:ascii="Arial" w:cs="Arial" w:eastAsia="Arial" w:hAnsi="Arial"/>
          <w:color w:val="404040"/>
          <w:sz w:val="20"/>
          <w:szCs w:val="20"/>
        </w:rPr>
        <w:t xml:space="preserve">Manage the IT budget and ensure cost-effective delivery of technology services.</w:t>
      </w:r>
    </w:p>
    <w:p>
      <w:pPr>
        <w:pStyle w:val="ListParagraph"/>
        <w:numPr>
          <w:ilvl w:val="0"/>
          <w:numId w:val="2"/>
        </w:numPr>
        <w:spacing w:before="60" w:after="60"/>
      </w:pPr>
      <w:r>
        <w:rPr>
          <w:rFonts w:ascii="Arial" w:cs="Arial" w:eastAsia="Arial" w:hAnsi="Arial"/>
          <w:color w:val="404040"/>
          <w:sz w:val="20"/>
          <w:szCs w:val="20"/>
        </w:rPr>
        <w:t xml:space="preserve">Ensure that technology resources are adequately maintained, upgraded, and protected.</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4.6 Chief Information Security Officer (CISO)</w:t>
      </w:r>
    </w:p>
    <w:p>
      <w:pPr>
        <w:spacing w:before="80" w:after="80"/>
        <w:jc w:val="both"/>
      </w:pPr>
      <w:r>
        <w:rPr>
          <w:rFonts w:ascii="Arial" w:cs="Arial" w:eastAsia="Arial" w:hAnsi="Arial"/>
          <w:b w:val="false"/>
          <w:bCs w:val="false"/>
          <w:color w:val="404040"/>
          <w:sz w:val="20"/>
          <w:szCs w:val="20"/>
        </w:rPr>
        <w:t xml:space="preserve">The CISO is responsible for enterprise-wide information and cyber security management. The CISO shall:</w:t>
      </w:r>
    </w:p>
    <w:p>
      <w:pPr>
        <w:pStyle w:val="ListParagraph"/>
        <w:numPr>
          <w:ilvl w:val="0"/>
          <w:numId w:val="2"/>
        </w:numPr>
        <w:spacing w:before="60" w:after="60"/>
      </w:pPr>
      <w:r>
        <w:rPr>
          <w:rFonts w:ascii="Arial" w:cs="Arial" w:eastAsia="Arial" w:hAnsi="Arial"/>
          <w:color w:val="404040"/>
          <w:sz w:val="20"/>
          <w:szCs w:val="20"/>
        </w:rPr>
        <w:t xml:space="preserve">Be independent of the IT operations function to avoid conflicts of interest.</w:t>
      </w:r>
    </w:p>
    <w:p>
      <w:pPr>
        <w:pStyle w:val="ListParagraph"/>
        <w:numPr>
          <w:ilvl w:val="0"/>
          <w:numId w:val="2"/>
        </w:numPr>
        <w:spacing w:before="60" w:after="60"/>
      </w:pPr>
      <w:r>
        <w:rPr>
          <w:rFonts w:ascii="Arial" w:cs="Arial" w:eastAsia="Arial" w:hAnsi="Arial"/>
          <w:color w:val="404040"/>
          <w:sz w:val="20"/>
          <w:szCs w:val="20"/>
        </w:rPr>
        <w:t xml:space="preserve">Develop, implement, and maintain the Information/Cyber Security Management Framework.</w:t>
      </w:r>
    </w:p>
    <w:p>
      <w:pPr>
        <w:pStyle w:val="ListParagraph"/>
        <w:numPr>
          <w:ilvl w:val="0"/>
          <w:numId w:val="2"/>
        </w:numPr>
        <w:spacing w:before="60" w:after="60"/>
      </w:pPr>
      <w:r>
        <w:rPr>
          <w:rFonts w:ascii="Arial" w:cs="Arial" w:eastAsia="Arial" w:hAnsi="Arial"/>
          <w:color w:val="404040"/>
          <w:sz w:val="20"/>
          <w:szCs w:val="20"/>
        </w:rPr>
        <w:t xml:space="preserve">Lead the formulation and execution of the Cyber Security Action Plan.</w:t>
      </w:r>
    </w:p>
    <w:p>
      <w:pPr>
        <w:pStyle w:val="ListParagraph"/>
        <w:numPr>
          <w:ilvl w:val="0"/>
          <w:numId w:val="2"/>
        </w:numPr>
        <w:spacing w:before="60" w:after="60"/>
      </w:pPr>
      <w:r>
        <w:rPr>
          <w:rFonts w:ascii="Arial" w:cs="Arial" w:eastAsia="Arial" w:hAnsi="Arial"/>
          <w:color w:val="404040"/>
          <w:sz w:val="20"/>
          <w:szCs w:val="20"/>
        </w:rPr>
        <w:t xml:space="preserve">Monitor and report on information security risks, incidents, and control effectiveness.</w:t>
      </w:r>
    </w:p>
    <w:p>
      <w:pPr>
        <w:pStyle w:val="ListParagraph"/>
        <w:numPr>
          <w:ilvl w:val="0"/>
          <w:numId w:val="2"/>
        </w:numPr>
        <w:spacing w:before="60" w:after="60"/>
      </w:pPr>
      <w:r>
        <w:rPr>
          <w:rFonts w:ascii="Arial" w:cs="Arial" w:eastAsia="Arial" w:hAnsi="Arial"/>
          <w:color w:val="404040"/>
          <w:sz w:val="20"/>
          <w:szCs w:val="20"/>
        </w:rPr>
        <w:t xml:space="preserve">Oversee security testing programs including vulnerability assessments and penetration testing.</w:t>
      </w:r>
    </w:p>
    <w:p>
      <w:pPr>
        <w:pStyle w:val="ListParagraph"/>
        <w:numPr>
          <w:ilvl w:val="0"/>
          <w:numId w:val="2"/>
        </w:numPr>
        <w:spacing w:before="60" w:after="60"/>
      </w:pPr>
      <w:r>
        <w:rPr>
          <w:rFonts w:ascii="Arial" w:cs="Arial" w:eastAsia="Arial" w:hAnsi="Arial"/>
          <w:color w:val="404040"/>
          <w:sz w:val="20"/>
          <w:szCs w:val="20"/>
        </w:rPr>
        <w:t xml:space="preserve">Ensure information security awareness programs are implemented across the Bank.</w:t>
      </w:r>
    </w:p>
    <w:p>
      <w:pPr>
        <w:pStyle w:val="ListParagraph"/>
        <w:numPr>
          <w:ilvl w:val="0"/>
          <w:numId w:val="2"/>
        </w:numPr>
        <w:spacing w:before="60" w:after="60"/>
      </w:pPr>
      <w:r>
        <w:rPr>
          <w:rFonts w:ascii="Arial" w:cs="Arial" w:eastAsia="Arial" w:hAnsi="Arial"/>
          <w:color w:val="404040"/>
          <w:sz w:val="20"/>
          <w:szCs w:val="20"/>
        </w:rPr>
        <w:t xml:space="preserve">Report directly to the President/CEO or Board IT Committee, bypassing the CIO when necessary.</w:t>
      </w:r>
    </w:p>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5. IT Strategy</w:t>
      </w:r>
    </w:p>
    <w:p>
      <w:pPr>
        <w:pStyle w:val="Heading2"/>
        <w:spacing w:before="240" w:after="120"/>
      </w:pPr>
      <w:r>
        <w:rPr>
          <w:rFonts w:ascii="Arial" w:cs="Arial" w:eastAsia="Arial" w:hAnsi="Arial"/>
          <w:b/>
          <w:bCs/>
          <w:color w:val="2E75B6"/>
          <w:sz w:val="26"/>
          <w:szCs w:val="26"/>
        </w:rPr>
        <w:t xml:space="preserve">5.1 IT Strategy Framework</w:t>
      </w:r>
    </w:p>
    <w:p>
      <w:pPr>
        <w:spacing w:before="80" w:after="80"/>
        <w:jc w:val="both"/>
      </w:pPr>
      <w:r>
        <w:rPr>
          <w:rFonts w:ascii="Arial" w:cs="Arial" w:eastAsia="Arial" w:hAnsi="Arial"/>
          <w:b w:val="false"/>
          <w:bCs w:val="false"/>
          <w:color w:val="404040"/>
          <w:sz w:val="20"/>
          <w:szCs w:val="20"/>
        </w:rPr>
        <w:t xml:space="preserve">The Board of Directors shall approve the Bank's IT Strategy, which serves as the overarching plan for the design, deployment, and management of all technology resources. The IT Strategy shall cover, at a minimum, the following components:</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Vision &amp; Mission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Clear articulation of the IT function's vision and mission aligned with the Bank's corporate strategy.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Strategic Objectives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Defined and measurable IT strategic objectives with timelines and KPIs for tracking progress.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Operating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Description of how IT services are organized, delivered, and governed across the Bank.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Technology Roadmap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Multi-year plan for technology investments, upgrades, and decommissioning of legacy systems.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Data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Strategy for data governance, data quality, data processing, storage, and analytics capabilities.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Security 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Adoption of best-in-class information security systems and practices across all technology layers.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Resource Planning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People, process, and technology resource planning to meet strategic IT objectives.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Stakeholder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Identification of key internal and external stakeholders and their technology requirements.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Risk Alignment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Integration of technology risk management with the Bank's enterprise risk management framework.</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5.2 IT Strategy Development and Review Process</w:t>
      </w:r>
    </w:p>
    <w:p>
      <w:pPr>
        <w:pStyle w:val="ListParagraph"/>
        <w:numPr>
          <w:ilvl w:val="0"/>
          <w:numId w:val="3"/>
        </w:numPr>
        <w:spacing w:before="60" w:after="60"/>
      </w:pPr>
      <w:r>
        <w:rPr>
          <w:rFonts w:ascii="Arial" w:cs="Arial" w:eastAsia="Arial" w:hAnsi="Arial"/>
          <w:color w:val="404040"/>
          <w:sz w:val="20"/>
          <w:szCs w:val="20"/>
        </w:rPr>
        <w:t xml:space="preserve">The CIO, in collaboration with relevant business and support functions, shall develop a draft IT Strategy for review by the IT Steering Committee.</w:t>
      </w:r>
    </w:p>
    <w:p>
      <w:pPr>
        <w:pStyle w:val="ListParagraph"/>
        <w:numPr>
          <w:ilvl w:val="0"/>
          <w:numId w:val="3"/>
        </w:numPr>
        <w:spacing w:before="60" w:after="60"/>
      </w:pPr>
      <w:r>
        <w:rPr>
          <w:rFonts w:ascii="Arial" w:cs="Arial" w:eastAsia="Arial" w:hAnsi="Arial"/>
          <w:color w:val="404040"/>
          <w:sz w:val="20"/>
          <w:szCs w:val="20"/>
        </w:rPr>
        <w:t xml:space="preserve">The IT Steering Committee shall review the draft IT Strategy and submit its recommendations to the Board IT Committee.</w:t>
      </w:r>
    </w:p>
    <w:p>
      <w:pPr>
        <w:pStyle w:val="ListParagraph"/>
        <w:numPr>
          <w:ilvl w:val="0"/>
          <w:numId w:val="3"/>
        </w:numPr>
        <w:spacing w:before="60" w:after="60"/>
      </w:pPr>
      <w:r>
        <w:rPr>
          <w:rFonts w:ascii="Arial" w:cs="Arial" w:eastAsia="Arial" w:hAnsi="Arial"/>
          <w:color w:val="404040"/>
          <w:sz w:val="20"/>
          <w:szCs w:val="20"/>
        </w:rPr>
        <w:t xml:space="preserve">The Board IT Committee shall review the IT Strategy before presenting it to the Board of Directors for approval.</w:t>
      </w:r>
    </w:p>
    <w:p>
      <w:pPr>
        <w:pStyle w:val="ListParagraph"/>
        <w:numPr>
          <w:ilvl w:val="0"/>
          <w:numId w:val="3"/>
        </w:numPr>
        <w:spacing w:before="60" w:after="60"/>
      </w:pPr>
      <w:r>
        <w:rPr>
          <w:rFonts w:ascii="Arial" w:cs="Arial" w:eastAsia="Arial" w:hAnsi="Arial"/>
          <w:color w:val="404040"/>
          <w:sz w:val="20"/>
          <w:szCs w:val="20"/>
        </w:rPr>
        <w:t xml:space="preserve">The Board of Directors shall formally approve the IT Strategy through a Board Resolution.</w:t>
      </w:r>
    </w:p>
    <w:p>
      <w:pPr>
        <w:pStyle w:val="ListParagraph"/>
        <w:numPr>
          <w:ilvl w:val="0"/>
          <w:numId w:val="3"/>
        </w:numPr>
        <w:spacing w:before="60" w:after="60"/>
      </w:pPr>
      <w:r>
        <w:rPr>
          <w:rFonts w:ascii="Arial" w:cs="Arial" w:eastAsia="Arial" w:hAnsi="Arial"/>
          <w:color w:val="404040"/>
          <w:sz w:val="20"/>
          <w:szCs w:val="20"/>
        </w:rPr>
        <w:t xml:space="preserve">The IT Strategy shall be reviewed and updated at least every three (3) years, or more frequently in response to significant changes in the business environment, technology landscape, or regulatory requirements.</w:t>
      </w:r>
    </w:p>
    <w:p>
      <w:pPr>
        <w:pStyle w:val="ListParagraph"/>
        <w:numPr>
          <w:ilvl w:val="0"/>
          <w:numId w:val="3"/>
        </w:numPr>
        <w:spacing w:before="60" w:after="60"/>
      </w:pPr>
      <w:r>
        <w:rPr>
          <w:rFonts w:ascii="Arial" w:cs="Arial" w:eastAsia="Arial" w:hAnsi="Arial"/>
          <w:color w:val="404040"/>
          <w:sz w:val="20"/>
          <w:szCs w:val="20"/>
        </w:rPr>
        <w:t xml:space="preserve">Progress against the IT Strategy shall be monitored and reported to the Board IT Committee on a quarterly basis and to the Board at least annually.</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5.3 Organizational Enablers and Constraints</w:t>
      </w:r>
    </w:p>
    <w:p>
      <w:pPr>
        <w:spacing w:before="80" w:after="80"/>
        <w:jc w:val="both"/>
      </w:pPr>
      <w:r>
        <w:rPr>
          <w:rFonts w:ascii="Arial" w:cs="Arial" w:eastAsia="Arial" w:hAnsi="Arial"/>
          <w:b w:val="false"/>
          <w:bCs w:val="false"/>
          <w:color w:val="404040"/>
          <w:sz w:val="20"/>
          <w:szCs w:val="20"/>
        </w:rPr>
        <w:t xml:space="preserve">In developing the IT Strategy, the Bank shall identify and document:</w:t>
      </w:r>
    </w:p>
    <w:p>
      <w:pPr>
        <w:pStyle w:val="ListParagraph"/>
        <w:numPr>
          <w:ilvl w:val="0"/>
          <w:numId w:val="2"/>
        </w:numPr>
        <w:spacing w:before="60" w:after="60"/>
      </w:pPr>
      <w:r>
        <w:rPr>
          <w:rFonts w:ascii="Arial" w:cs="Arial" w:eastAsia="Arial" w:hAnsi="Arial"/>
          <w:color w:val="404040"/>
          <w:sz w:val="20"/>
          <w:szCs w:val="20"/>
        </w:rPr>
        <w:t xml:space="preserve">Organizational constraints including budgetary limitations, skills gaps, legacy system dependencies, and regulatory boundaries.</w:t>
      </w:r>
    </w:p>
    <w:p>
      <w:pPr>
        <w:pStyle w:val="ListParagraph"/>
        <w:numPr>
          <w:ilvl w:val="0"/>
          <w:numId w:val="2"/>
        </w:numPr>
        <w:spacing w:before="60" w:after="60"/>
      </w:pPr>
      <w:r>
        <w:rPr>
          <w:rFonts w:ascii="Arial" w:cs="Arial" w:eastAsia="Arial" w:hAnsi="Arial"/>
          <w:color w:val="404040"/>
          <w:sz w:val="20"/>
          <w:szCs w:val="20"/>
        </w:rPr>
        <w:t xml:space="preserve">Cultural enablers and barriers to achieving strategic IT objectives.</w:t>
      </w:r>
    </w:p>
    <w:p>
      <w:pPr>
        <w:pStyle w:val="ListParagraph"/>
        <w:numPr>
          <w:ilvl w:val="0"/>
          <w:numId w:val="2"/>
        </w:numPr>
        <w:spacing w:before="60" w:after="60"/>
      </w:pPr>
      <w:r>
        <w:rPr>
          <w:rFonts w:ascii="Arial" w:cs="Arial" w:eastAsia="Arial" w:hAnsi="Arial"/>
          <w:color w:val="404040"/>
          <w:sz w:val="20"/>
          <w:szCs w:val="20"/>
        </w:rPr>
        <w:t xml:space="preserve">External environmental factors including competitive dynamics, technological trends, and regulatory developments.</w:t>
      </w:r>
    </w:p>
    <w:p>
      <w:pPr>
        <w:pStyle w:val="ListParagraph"/>
        <w:numPr>
          <w:ilvl w:val="0"/>
          <w:numId w:val="2"/>
        </w:numPr>
        <w:spacing w:before="60" w:after="60"/>
      </w:pPr>
      <w:r>
        <w:rPr>
          <w:rFonts w:ascii="Arial" w:cs="Arial" w:eastAsia="Arial" w:hAnsi="Arial"/>
          <w:color w:val="404040"/>
          <w:sz w:val="20"/>
          <w:szCs w:val="20"/>
        </w:rPr>
        <w:t xml:space="preserve">Strategic review processes to ensure the IT Strategy remains current and relevant to organizational direction.</w:t>
      </w:r>
    </w:p>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6. Digital Strategy</w:t>
      </w:r>
    </w:p>
    <w:p>
      <w:pPr>
        <w:pStyle w:val="Heading2"/>
        <w:spacing w:before="240" w:after="120"/>
      </w:pPr>
      <w:r>
        <w:rPr>
          <w:rFonts w:ascii="Arial" w:cs="Arial" w:eastAsia="Arial" w:hAnsi="Arial"/>
          <w:b/>
          <w:bCs/>
          <w:color w:val="2E75B6"/>
          <w:sz w:val="26"/>
          <w:szCs w:val="26"/>
        </w:rPr>
        <w:t xml:space="preserve">6.1 Digital Strategy Framework</w:t>
      </w:r>
    </w:p>
    <w:p>
      <w:pPr>
        <w:spacing w:before="80" w:after="80"/>
        <w:jc w:val="both"/>
      </w:pPr>
      <w:r>
        <w:rPr>
          <w:rFonts w:ascii="Arial" w:cs="Arial" w:eastAsia="Arial" w:hAnsi="Arial"/>
          <w:b w:val="false"/>
          <w:bCs w:val="false"/>
          <w:color w:val="404040"/>
          <w:sz w:val="20"/>
          <w:szCs w:val="20"/>
        </w:rPr>
        <w:t xml:space="preserve">The Board of Directors shall also approve a Digital Strategy that complements and extends the IT Strategy. The Digital Strategy shall cover, at a minimum, the following objectives:</w:t>
      </w:r>
    </w:p>
    <w:p>
      <w:pPr>
        <w:spacing w:before="120" w:after="120"/>
      </w:pPr>
      <w:r>
        <w:t xml:space="preserve"/>
      </w:r>
    </w:p>
    <w:p>
      <w:pPr>
        <w:pStyle w:val="Heading3"/>
        <w:spacing w:before="180" w:after="100"/>
      </w:pPr>
      <w:r>
        <w:rPr>
          <w:rFonts w:ascii="Arial" w:cs="Arial" w:eastAsia="Arial" w:hAnsi="Arial"/>
          <w:b/>
          <w:bCs/>
          <w:color w:val="404040"/>
          <w:sz w:val="22"/>
          <w:szCs w:val="22"/>
        </w:rPr>
        <w:t xml:space="preserve">6.1.1 Customer-Focused Digital Products and Services</w:t>
      </w:r>
    </w:p>
    <w:p>
      <w:pPr>
        <w:pStyle w:val="ListParagraph"/>
        <w:numPr>
          <w:ilvl w:val="0"/>
          <w:numId w:val="2"/>
        </w:numPr>
        <w:spacing w:before="60" w:after="60"/>
      </w:pPr>
      <w:r>
        <w:rPr>
          <w:rFonts w:ascii="Arial" w:cs="Arial" w:eastAsia="Arial" w:hAnsi="Arial"/>
          <w:color w:val="404040"/>
          <w:sz w:val="20"/>
          <w:szCs w:val="20"/>
        </w:rPr>
        <w:t xml:space="preserve">Development and continuous enhancement of digital banking products and services for retail, corporate, and SME customers.</w:t>
      </w:r>
    </w:p>
    <w:p>
      <w:pPr>
        <w:pStyle w:val="ListParagraph"/>
        <w:numPr>
          <w:ilvl w:val="0"/>
          <w:numId w:val="2"/>
        </w:numPr>
        <w:spacing w:before="60" w:after="60"/>
      </w:pPr>
      <w:r>
        <w:rPr>
          <w:rFonts w:ascii="Arial" w:cs="Arial" w:eastAsia="Arial" w:hAnsi="Arial"/>
          <w:color w:val="404040"/>
          <w:sz w:val="20"/>
          <w:szCs w:val="20"/>
        </w:rPr>
        <w:t xml:space="preserve">Expansion of digital delivery channels including mobile banking, internet banking, and open banking APIs.</w:t>
      </w:r>
    </w:p>
    <w:p>
      <w:pPr>
        <w:pStyle w:val="ListParagraph"/>
        <w:numPr>
          <w:ilvl w:val="0"/>
          <w:numId w:val="2"/>
        </w:numPr>
        <w:spacing w:before="60" w:after="60"/>
      </w:pPr>
      <w:r>
        <w:rPr>
          <w:rFonts w:ascii="Arial" w:cs="Arial" w:eastAsia="Arial" w:hAnsi="Arial"/>
          <w:color w:val="404040"/>
          <w:sz w:val="20"/>
          <w:szCs w:val="20"/>
        </w:rPr>
        <w:t xml:space="preserve">Adoption of emerging technologies such as AI, machine learning, and data analytics to enhance customer experience.</w:t>
      </w:r>
    </w:p>
    <w:p>
      <w:pPr>
        <w:pStyle w:val="ListParagraph"/>
        <w:numPr>
          <w:ilvl w:val="0"/>
          <w:numId w:val="2"/>
        </w:numPr>
        <w:spacing w:before="60" w:after="60"/>
      </w:pPr>
      <w:r>
        <w:rPr>
          <w:rFonts w:ascii="Arial" w:cs="Arial" w:eastAsia="Arial" w:hAnsi="Arial"/>
          <w:color w:val="404040"/>
          <w:sz w:val="20"/>
          <w:szCs w:val="20"/>
        </w:rPr>
        <w:t xml:space="preserve">Customer journey mapping and digital experience design to improve adoption and satisfaction.</w:t>
      </w:r>
    </w:p>
    <w:p>
      <w:pPr>
        <w:spacing w:before="120" w:after="120"/>
      </w:pPr>
      <w:r>
        <w:t xml:space="preserve"/>
      </w:r>
    </w:p>
    <w:p>
      <w:pPr>
        <w:pStyle w:val="Heading3"/>
        <w:spacing w:before="180" w:after="100"/>
      </w:pPr>
      <w:r>
        <w:rPr>
          <w:rFonts w:ascii="Arial" w:cs="Arial" w:eastAsia="Arial" w:hAnsi="Arial"/>
          <w:b/>
          <w:bCs/>
          <w:color w:val="404040"/>
          <w:sz w:val="22"/>
          <w:szCs w:val="22"/>
        </w:rPr>
        <w:t xml:space="preserve">6.1.2 End-to-End Process Digitization</w:t>
      </w:r>
    </w:p>
    <w:p>
      <w:pPr>
        <w:pStyle w:val="ListParagraph"/>
        <w:numPr>
          <w:ilvl w:val="0"/>
          <w:numId w:val="2"/>
        </w:numPr>
        <w:spacing w:before="60" w:after="60"/>
      </w:pPr>
      <w:r>
        <w:rPr>
          <w:rFonts w:ascii="Arial" w:cs="Arial" w:eastAsia="Arial" w:hAnsi="Arial"/>
          <w:color w:val="404040"/>
          <w:sz w:val="20"/>
          <w:szCs w:val="20"/>
        </w:rPr>
        <w:t xml:space="preserve">Digitization of core banking processes including account opening, loan origination, trade finance, and payment processing.</w:t>
      </w:r>
    </w:p>
    <w:p>
      <w:pPr>
        <w:pStyle w:val="ListParagraph"/>
        <w:numPr>
          <w:ilvl w:val="0"/>
          <w:numId w:val="2"/>
        </w:numPr>
        <w:spacing w:before="60" w:after="60"/>
      </w:pPr>
      <w:r>
        <w:rPr>
          <w:rFonts w:ascii="Arial" w:cs="Arial" w:eastAsia="Arial" w:hAnsi="Arial"/>
          <w:color w:val="404040"/>
          <w:sz w:val="20"/>
          <w:szCs w:val="20"/>
        </w:rPr>
        <w:t xml:space="preserve">Elimination of paper-based processes through digital workflows and electronic document management.</w:t>
      </w:r>
    </w:p>
    <w:p>
      <w:pPr>
        <w:pStyle w:val="ListParagraph"/>
        <w:numPr>
          <w:ilvl w:val="0"/>
          <w:numId w:val="2"/>
        </w:numPr>
        <w:spacing w:before="60" w:after="60"/>
      </w:pPr>
      <w:r>
        <w:rPr>
          <w:rFonts w:ascii="Arial" w:cs="Arial" w:eastAsia="Arial" w:hAnsi="Arial"/>
          <w:color w:val="404040"/>
          <w:sz w:val="20"/>
          <w:szCs w:val="20"/>
        </w:rPr>
        <w:t xml:space="preserve">Automation of manual and repetitive tasks through robotic process automation (RPA) and intelligent automation.</w:t>
      </w:r>
    </w:p>
    <w:p>
      <w:pPr>
        <w:pStyle w:val="ListParagraph"/>
        <w:numPr>
          <w:ilvl w:val="0"/>
          <w:numId w:val="2"/>
        </w:numPr>
        <w:spacing w:before="60" w:after="60"/>
      </w:pPr>
      <w:r>
        <w:rPr>
          <w:rFonts w:ascii="Arial" w:cs="Arial" w:eastAsia="Arial" w:hAnsi="Arial"/>
          <w:color w:val="404040"/>
          <w:sz w:val="20"/>
          <w:szCs w:val="20"/>
        </w:rPr>
        <w:t xml:space="preserve">Integration of front-end digital channels with back-end core banking systems.</w:t>
      </w:r>
    </w:p>
    <w:p>
      <w:pPr>
        <w:spacing w:before="120" w:after="120"/>
      </w:pPr>
      <w:r>
        <w:t xml:space="preserve"/>
      </w:r>
    </w:p>
    <w:p>
      <w:pPr>
        <w:pStyle w:val="Heading3"/>
        <w:spacing w:before="180" w:after="100"/>
      </w:pPr>
      <w:r>
        <w:rPr>
          <w:rFonts w:ascii="Arial" w:cs="Arial" w:eastAsia="Arial" w:hAnsi="Arial"/>
          <w:b/>
          <w:bCs/>
          <w:color w:val="404040"/>
          <w:sz w:val="22"/>
          <w:szCs w:val="22"/>
        </w:rPr>
        <w:t xml:space="preserve">6.1.3 Interoperability of Delivery Channels</w:t>
      </w:r>
    </w:p>
    <w:p>
      <w:pPr>
        <w:pStyle w:val="ListParagraph"/>
        <w:numPr>
          <w:ilvl w:val="0"/>
          <w:numId w:val="2"/>
        </w:numPr>
        <w:spacing w:before="60" w:after="60"/>
      </w:pPr>
      <w:r>
        <w:rPr>
          <w:rFonts w:ascii="Arial" w:cs="Arial" w:eastAsia="Arial" w:hAnsi="Arial"/>
          <w:color w:val="404040"/>
          <w:sz w:val="20"/>
          <w:szCs w:val="20"/>
        </w:rPr>
        <w:t xml:space="preserve">Ensuring seamless customer experience across all digital and physical delivery channels.</w:t>
      </w:r>
    </w:p>
    <w:p>
      <w:pPr>
        <w:pStyle w:val="ListParagraph"/>
        <w:numPr>
          <w:ilvl w:val="0"/>
          <w:numId w:val="2"/>
        </w:numPr>
        <w:spacing w:before="60" w:after="60"/>
      </w:pPr>
      <w:r>
        <w:rPr>
          <w:rFonts w:ascii="Arial" w:cs="Arial" w:eastAsia="Arial" w:hAnsi="Arial"/>
          <w:color w:val="404040"/>
          <w:sz w:val="20"/>
          <w:szCs w:val="20"/>
        </w:rPr>
        <w:t xml:space="preserve">Integration with national payment infrastructure including RAAST, 1LINK, and other payment systems.</w:t>
      </w:r>
    </w:p>
    <w:p>
      <w:pPr>
        <w:pStyle w:val="ListParagraph"/>
        <w:numPr>
          <w:ilvl w:val="0"/>
          <w:numId w:val="2"/>
        </w:numPr>
        <w:spacing w:before="60" w:after="60"/>
      </w:pPr>
      <w:r>
        <w:rPr>
          <w:rFonts w:ascii="Arial" w:cs="Arial" w:eastAsia="Arial" w:hAnsi="Arial"/>
          <w:color w:val="404040"/>
          <w:sz w:val="20"/>
          <w:szCs w:val="20"/>
        </w:rPr>
        <w:t xml:space="preserve">Implementation of open banking standards to enable API-based integration with fintechs and third-party providers.</w:t>
      </w:r>
    </w:p>
    <w:p>
      <w:pPr>
        <w:pStyle w:val="ListParagraph"/>
        <w:numPr>
          <w:ilvl w:val="0"/>
          <w:numId w:val="2"/>
        </w:numPr>
        <w:spacing w:before="60" w:after="60"/>
      </w:pPr>
      <w:r>
        <w:rPr>
          <w:rFonts w:ascii="Arial" w:cs="Arial" w:eastAsia="Arial" w:hAnsi="Arial"/>
          <w:color w:val="404040"/>
          <w:sz w:val="20"/>
          <w:szCs w:val="20"/>
        </w:rPr>
        <w:t xml:space="preserve">Cross-channel data consistency and real-time information availability across all touchpoints.</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6.2 Digital Strategy Governance</w:t>
      </w:r>
    </w:p>
    <w:p>
      <w:pPr>
        <w:spacing w:before="80" w:after="80"/>
        <w:jc w:val="both"/>
      </w:pPr>
      <w:r>
        <w:rPr>
          <w:rFonts w:ascii="Arial" w:cs="Arial" w:eastAsia="Arial" w:hAnsi="Arial"/>
          <w:b w:val="false"/>
          <w:bCs w:val="false"/>
          <w:color w:val="404040"/>
          <w:sz w:val="20"/>
          <w:szCs w:val="20"/>
        </w:rPr>
        <w:t xml:space="preserve">The Digital Strategy shall be subject to the same governance processes as the IT Strategy, including Board-level approval, periodic review, and performance monitoring. The CIO and relevant business heads shall be jointly responsible for the execution of the Digital Strategy.</w:t>
      </w:r>
    </w:p>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7. IT Organizational Structure</w:t>
      </w:r>
    </w:p>
    <w:p>
      <w:pPr>
        <w:pStyle w:val="Heading2"/>
        <w:spacing w:before="240" w:after="120"/>
      </w:pPr>
      <w:r>
        <w:rPr>
          <w:rFonts w:ascii="Arial" w:cs="Arial" w:eastAsia="Arial" w:hAnsi="Arial"/>
          <w:b/>
          <w:bCs/>
          <w:color w:val="2E75B6"/>
          <w:sz w:val="26"/>
          <w:szCs w:val="26"/>
        </w:rPr>
        <w:t xml:space="preserve">7.1 Structure Overview</w:t>
      </w:r>
    </w:p>
    <w:p>
      <w:pPr>
        <w:spacing w:before="80" w:after="80"/>
        <w:jc w:val="both"/>
      </w:pPr>
      <w:r>
        <w:rPr>
          <w:rFonts w:ascii="Arial" w:cs="Arial" w:eastAsia="Arial" w:hAnsi="Arial"/>
          <w:b w:val="false"/>
          <w:bCs w:val="false"/>
          <w:color w:val="404040"/>
          <w:sz w:val="20"/>
          <w:szCs w:val="20"/>
        </w:rPr>
        <w:t xml:space="preserve">The IT organizational structure of [Bank Name] shall be commensurate with the size, scale, business objectives, and nature of business activities. The structure is designed to ensure clear accountability, effective control, and efficient delivery of technology services.</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7.2 Key Structural Requirements</w:t>
      </w:r>
    </w:p>
    <w:p>
      <w:pPr>
        <w:pStyle w:val="ListParagraph"/>
        <w:numPr>
          <w:ilvl w:val="0"/>
          <w:numId w:val="2"/>
        </w:numPr>
        <w:spacing w:before="60" w:after="60"/>
      </w:pPr>
      <w:r>
        <w:rPr>
          <w:rFonts w:ascii="Arial" w:cs="Arial" w:eastAsia="Arial" w:hAnsi="Arial"/>
          <w:color w:val="404040"/>
          <w:sz w:val="20"/>
          <w:szCs w:val="20"/>
        </w:rPr>
        <w:t xml:space="preserve">The head of information security (CISO) shall be independent of the technology operations function to prevent conflicts of interest.</w:t>
      </w:r>
    </w:p>
    <w:p>
      <w:pPr>
        <w:pStyle w:val="ListParagraph"/>
        <w:numPr>
          <w:ilvl w:val="0"/>
          <w:numId w:val="2"/>
        </w:numPr>
        <w:spacing w:before="60" w:after="60"/>
      </w:pPr>
      <w:r>
        <w:rPr>
          <w:rFonts w:ascii="Arial" w:cs="Arial" w:eastAsia="Arial" w:hAnsi="Arial"/>
          <w:color w:val="404040"/>
          <w:sz w:val="20"/>
          <w:szCs w:val="20"/>
        </w:rPr>
        <w:t xml:space="preserve">The IT governance, risk management, and compliance functions shall have appropriate reporting lines to the Board or its committees.</w:t>
      </w:r>
    </w:p>
    <w:p>
      <w:pPr>
        <w:pStyle w:val="ListParagraph"/>
        <w:numPr>
          <w:ilvl w:val="0"/>
          <w:numId w:val="2"/>
        </w:numPr>
        <w:spacing w:before="60" w:after="60"/>
      </w:pPr>
      <w:r>
        <w:rPr>
          <w:rFonts w:ascii="Arial" w:cs="Arial" w:eastAsia="Arial" w:hAnsi="Arial"/>
          <w:color w:val="404040"/>
          <w:sz w:val="20"/>
          <w:szCs w:val="20"/>
        </w:rPr>
        <w:t xml:space="preserve">Business relationship management functions shall ensure IT service delivery aligns with business needs.</w:t>
      </w:r>
    </w:p>
    <w:p>
      <w:pPr>
        <w:pStyle w:val="ListParagraph"/>
        <w:numPr>
          <w:ilvl w:val="0"/>
          <w:numId w:val="2"/>
        </w:numPr>
        <w:spacing w:before="60" w:after="60"/>
      </w:pPr>
      <w:r>
        <w:rPr>
          <w:rFonts w:ascii="Arial" w:cs="Arial" w:eastAsia="Arial" w:hAnsi="Arial"/>
          <w:color w:val="404040"/>
          <w:sz w:val="20"/>
          <w:szCs w:val="20"/>
        </w:rPr>
        <w:t xml:space="preserve">The Project Management Office (PMO) shall maintain central oversight of all technology projects.</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7.3 Reporting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Reports To</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President / CEO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As needed / Monthly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CISO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President / CEO (independently from CIO)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Monthly / As needed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Steering Committee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Board IT Committee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Quarterly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Board IT Committee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Board of Directors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Quarterly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Audit Function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Audit Committee of BoD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Quarterly</w:t>
            </w:r>
          </w:p>
        </w:tc>
      </w:tr>
    </w:tbl>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8. Technology Policy Framework</w:t>
      </w:r>
    </w:p>
    <w:p>
      <w:pPr>
        <w:pStyle w:val="Heading2"/>
        <w:spacing w:before="240" w:after="120"/>
      </w:pPr>
      <w:r>
        <w:rPr>
          <w:rFonts w:ascii="Arial" w:cs="Arial" w:eastAsia="Arial" w:hAnsi="Arial"/>
          <w:b/>
          <w:bCs/>
          <w:color w:val="2E75B6"/>
          <w:sz w:val="26"/>
          <w:szCs w:val="26"/>
        </w:rPr>
        <w:t xml:space="preserve">8.1 Policy Architecture</w:t>
      </w:r>
    </w:p>
    <w:p>
      <w:pPr>
        <w:spacing w:before="80" w:after="80"/>
        <w:jc w:val="both"/>
      </w:pPr>
      <w:r>
        <w:rPr>
          <w:rFonts w:ascii="Arial" w:cs="Arial" w:eastAsia="Arial" w:hAnsi="Arial"/>
          <w:b w:val="false"/>
          <w:bCs w:val="false"/>
          <w:color w:val="404040"/>
          <w:sz w:val="20"/>
          <w:szCs w:val="20"/>
        </w:rPr>
        <w:t xml:space="preserve">[Bank Name] shall maintain a comprehensive technology policy framework that is reviewed and updated at least once every three (3) years. This framework shall consist of the following tiers:</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Tier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Policies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High-level statements of intent approved by the Board. Define the 'what' and 'why'.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Tier 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Standards &amp; Frameworks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Mandatory requirements and baselines approved by Senior Management. Define the 'how' at a high level.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Tier 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Procedures &amp; SOPs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Step-by-step operational procedures for specific processes. Define the 'how' at an operational level.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Tier 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Guidelines &amp; Work Instructions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Supplementary guidance, templates, and checklists to support policy compliance.</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8.2 Mandatory Policy Areas</w:t>
      </w:r>
    </w:p>
    <w:p>
      <w:pPr>
        <w:spacing w:before="80" w:after="80"/>
        <w:jc w:val="both"/>
      </w:pPr>
      <w:r>
        <w:rPr>
          <w:rFonts w:ascii="Arial" w:cs="Arial" w:eastAsia="Arial" w:hAnsi="Arial"/>
          <w:b w:val="false"/>
          <w:bCs w:val="false"/>
          <w:color w:val="404040"/>
          <w:sz w:val="20"/>
          <w:szCs w:val="20"/>
        </w:rPr>
        <w:t xml:space="preserve">The technology policy framework shall, at a minimum, cover the following areas:</w:t>
      </w:r>
    </w:p>
    <w:p>
      <w:pPr>
        <w:pStyle w:val="ListParagraph"/>
        <w:numPr>
          <w:ilvl w:val="0"/>
          <w:numId w:val="2"/>
        </w:numPr>
        <w:spacing w:before="60" w:after="60"/>
      </w:pPr>
      <w:r>
        <w:rPr>
          <w:rFonts w:ascii="Arial" w:cs="Arial" w:eastAsia="Arial" w:hAnsi="Arial"/>
          <w:color w:val="404040"/>
          <w:sz w:val="20"/>
          <w:szCs w:val="20"/>
        </w:rPr>
        <w:t xml:space="preserve">Information and Cyber Security Management</w:t>
      </w:r>
    </w:p>
    <w:p>
      <w:pPr>
        <w:pStyle w:val="ListParagraph"/>
        <w:numPr>
          <w:ilvl w:val="0"/>
          <w:numId w:val="2"/>
        </w:numPr>
        <w:spacing w:before="60" w:after="60"/>
      </w:pPr>
      <w:r>
        <w:rPr>
          <w:rFonts w:ascii="Arial" w:cs="Arial" w:eastAsia="Arial" w:hAnsi="Arial"/>
          <w:color w:val="404040"/>
          <w:sz w:val="20"/>
          <w:szCs w:val="20"/>
        </w:rPr>
        <w:t xml:space="preserve">IT Services Delivery and Operations Management</w:t>
      </w:r>
    </w:p>
    <w:p>
      <w:pPr>
        <w:pStyle w:val="ListParagraph"/>
        <w:numPr>
          <w:ilvl w:val="0"/>
          <w:numId w:val="2"/>
        </w:numPr>
        <w:spacing w:before="60" w:after="60"/>
      </w:pPr>
      <w:r>
        <w:rPr>
          <w:rFonts w:ascii="Arial" w:cs="Arial" w:eastAsia="Arial" w:hAnsi="Arial"/>
          <w:color w:val="404040"/>
          <w:sz w:val="20"/>
          <w:szCs w:val="20"/>
        </w:rPr>
        <w:t xml:space="preserve">Technology Project Management, Acquisition, Development, and Implementation</w:t>
      </w:r>
    </w:p>
    <w:p>
      <w:pPr>
        <w:pStyle w:val="ListParagraph"/>
        <w:numPr>
          <w:ilvl w:val="0"/>
          <w:numId w:val="2"/>
        </w:numPr>
        <w:spacing w:before="60" w:after="60"/>
      </w:pPr>
      <w:r>
        <w:rPr>
          <w:rFonts w:ascii="Arial" w:cs="Arial" w:eastAsia="Arial" w:hAnsi="Arial"/>
          <w:color w:val="404040"/>
          <w:sz w:val="20"/>
          <w:szCs w:val="20"/>
        </w:rPr>
        <w:t xml:space="preserve">Business Continuity and Disaster Recovery</w:t>
      </w:r>
    </w:p>
    <w:p>
      <w:pPr>
        <w:pStyle w:val="ListParagraph"/>
        <w:numPr>
          <w:ilvl w:val="0"/>
          <w:numId w:val="2"/>
        </w:numPr>
        <w:spacing w:before="60" w:after="60"/>
      </w:pPr>
      <w:r>
        <w:rPr>
          <w:rFonts w:ascii="Arial" w:cs="Arial" w:eastAsia="Arial" w:hAnsi="Arial"/>
          <w:color w:val="404040"/>
          <w:sz w:val="20"/>
          <w:szCs w:val="20"/>
        </w:rPr>
        <w:t xml:space="preserve">IT Outsourcing and Cloud Computing</w:t>
      </w:r>
    </w:p>
    <w:p>
      <w:pPr>
        <w:pStyle w:val="ListParagraph"/>
        <w:numPr>
          <w:ilvl w:val="0"/>
          <w:numId w:val="2"/>
        </w:numPr>
        <w:spacing w:before="60" w:after="60"/>
      </w:pPr>
      <w:r>
        <w:rPr>
          <w:rFonts w:ascii="Arial" w:cs="Arial" w:eastAsia="Arial" w:hAnsi="Arial"/>
          <w:color w:val="404040"/>
          <w:sz w:val="20"/>
          <w:szCs w:val="20"/>
        </w:rPr>
        <w:t xml:space="preserve">IT Audit and Assurance</w:t>
      </w:r>
    </w:p>
    <w:p>
      <w:pPr>
        <w:pStyle w:val="ListParagraph"/>
        <w:numPr>
          <w:ilvl w:val="0"/>
          <w:numId w:val="2"/>
        </w:numPr>
        <w:spacing w:before="60" w:after="60"/>
      </w:pPr>
      <w:r>
        <w:rPr>
          <w:rFonts w:ascii="Arial" w:cs="Arial" w:eastAsia="Arial" w:hAnsi="Arial"/>
          <w:color w:val="404040"/>
          <w:sz w:val="20"/>
          <w:szCs w:val="20"/>
        </w:rPr>
        <w:t xml:space="preserve">Data Management and Privacy</w:t>
      </w:r>
    </w:p>
    <w:p>
      <w:pPr>
        <w:pStyle w:val="ListParagraph"/>
        <w:numPr>
          <w:ilvl w:val="0"/>
          <w:numId w:val="2"/>
        </w:numPr>
        <w:spacing w:before="60" w:after="60"/>
      </w:pPr>
      <w:r>
        <w:rPr>
          <w:rFonts w:ascii="Arial" w:cs="Arial" w:eastAsia="Arial" w:hAnsi="Arial"/>
          <w:color w:val="404040"/>
          <w:sz w:val="20"/>
          <w:szCs w:val="20"/>
        </w:rPr>
        <w:t xml:space="preserve">Acceptable Use of IT Resources</w:t>
      </w:r>
    </w:p>
    <w:p>
      <w:pPr>
        <w:pStyle w:val="ListParagraph"/>
        <w:numPr>
          <w:ilvl w:val="0"/>
          <w:numId w:val="2"/>
        </w:numPr>
        <w:spacing w:before="60" w:after="60"/>
      </w:pPr>
      <w:r>
        <w:rPr>
          <w:rFonts w:ascii="Arial" w:cs="Arial" w:eastAsia="Arial" w:hAnsi="Arial"/>
          <w:color w:val="404040"/>
          <w:sz w:val="20"/>
          <w:szCs w:val="20"/>
        </w:rPr>
        <w:t xml:space="preserve">Change Management and Release Management</w:t>
      </w:r>
    </w:p>
    <w:p>
      <w:pPr>
        <w:pStyle w:val="ListParagraph"/>
        <w:numPr>
          <w:ilvl w:val="0"/>
          <w:numId w:val="2"/>
        </w:numPr>
        <w:spacing w:before="60" w:after="60"/>
      </w:pPr>
      <w:r>
        <w:rPr>
          <w:rFonts w:ascii="Arial" w:cs="Arial" w:eastAsia="Arial" w:hAnsi="Arial"/>
          <w:color w:val="404040"/>
          <w:sz w:val="20"/>
          <w:szCs w:val="20"/>
        </w:rPr>
        <w:t xml:space="preserve">Capacity Planning and Performance Management</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8.3 Policy Lifecycle Management</w:t>
      </w:r>
    </w:p>
    <w:p>
      <w:pPr>
        <w:pStyle w:val="ListParagraph"/>
        <w:numPr>
          <w:ilvl w:val="0"/>
          <w:numId w:val="3"/>
        </w:numPr>
        <w:spacing w:before="60" w:after="60"/>
      </w:pPr>
      <w:r>
        <w:rPr>
          <w:rFonts w:ascii="Arial" w:cs="Arial" w:eastAsia="Arial" w:hAnsi="Arial"/>
          <w:color w:val="404040"/>
          <w:sz w:val="20"/>
          <w:szCs w:val="20"/>
        </w:rPr>
        <w:t xml:space="preserve">All policies shall be formally developed, reviewed, and approved before publication.</w:t>
      </w:r>
    </w:p>
    <w:p>
      <w:pPr>
        <w:pStyle w:val="ListParagraph"/>
        <w:numPr>
          <w:ilvl w:val="0"/>
          <w:numId w:val="3"/>
        </w:numPr>
        <w:spacing w:before="60" w:after="60"/>
      </w:pPr>
      <w:r>
        <w:rPr>
          <w:rFonts w:ascii="Arial" w:cs="Arial" w:eastAsia="Arial" w:hAnsi="Arial"/>
          <w:color w:val="404040"/>
          <w:sz w:val="20"/>
          <w:szCs w:val="20"/>
        </w:rPr>
        <w:t xml:space="preserve">Policies shall be communicated to all relevant stakeholders upon approval and upon each update.</w:t>
      </w:r>
    </w:p>
    <w:p>
      <w:pPr>
        <w:pStyle w:val="ListParagraph"/>
        <w:numPr>
          <w:ilvl w:val="0"/>
          <w:numId w:val="3"/>
        </w:numPr>
        <w:spacing w:before="60" w:after="60"/>
      </w:pPr>
      <w:r>
        <w:rPr>
          <w:rFonts w:ascii="Arial" w:cs="Arial" w:eastAsia="Arial" w:hAnsi="Arial"/>
          <w:color w:val="404040"/>
          <w:sz w:val="20"/>
          <w:szCs w:val="20"/>
        </w:rPr>
        <w:t xml:space="preserve">All employees and relevant third parties shall acknowledge receipt and understanding of applicable policies.</w:t>
      </w:r>
    </w:p>
    <w:p>
      <w:pPr>
        <w:pStyle w:val="ListParagraph"/>
        <w:numPr>
          <w:ilvl w:val="0"/>
          <w:numId w:val="3"/>
        </w:numPr>
        <w:spacing w:before="60" w:after="60"/>
      </w:pPr>
      <w:r>
        <w:rPr>
          <w:rFonts w:ascii="Arial" w:cs="Arial" w:eastAsia="Arial" w:hAnsi="Arial"/>
          <w:color w:val="404040"/>
          <w:sz w:val="20"/>
          <w:szCs w:val="20"/>
        </w:rPr>
        <w:t xml:space="preserve">Policies shall be reviewed at least every three (3) years, or more frequently upon major regulatory, business, or technology changes.</w:t>
      </w:r>
    </w:p>
    <w:p>
      <w:pPr>
        <w:pStyle w:val="ListParagraph"/>
        <w:numPr>
          <w:ilvl w:val="0"/>
          <w:numId w:val="3"/>
        </w:numPr>
        <w:spacing w:before="60" w:after="60"/>
      </w:pPr>
      <w:r>
        <w:rPr>
          <w:rFonts w:ascii="Arial" w:cs="Arial" w:eastAsia="Arial" w:hAnsi="Arial"/>
          <w:color w:val="404040"/>
          <w:sz w:val="20"/>
          <w:szCs w:val="20"/>
        </w:rPr>
        <w:t xml:space="preserve">Obsolete policies shall be formally retired through the defined policy management process.</w:t>
      </w:r>
    </w:p>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9. Management Information System (MIS)</w:t>
      </w:r>
    </w:p>
    <w:p>
      <w:pPr>
        <w:pStyle w:val="Heading2"/>
        <w:spacing w:before="240" w:after="120"/>
      </w:pPr>
      <w:r>
        <w:rPr>
          <w:rFonts w:ascii="Arial" w:cs="Arial" w:eastAsia="Arial" w:hAnsi="Arial"/>
          <w:b/>
          <w:bCs/>
          <w:color w:val="2E75B6"/>
          <w:sz w:val="26"/>
          <w:szCs w:val="26"/>
        </w:rPr>
        <w:t xml:space="preserve">9.1 Board-Level MIS</w:t>
      </w:r>
    </w:p>
    <w:p>
      <w:pPr>
        <w:spacing w:before="80" w:after="80"/>
        <w:jc w:val="both"/>
      </w:pPr>
      <w:r>
        <w:rPr>
          <w:rFonts w:ascii="Arial" w:cs="Arial" w:eastAsia="Arial" w:hAnsi="Arial"/>
          <w:b w:val="false"/>
          <w:bCs w:val="false"/>
          <w:color w:val="404040"/>
          <w:sz w:val="20"/>
          <w:szCs w:val="20"/>
        </w:rPr>
        <w:t xml:space="preserve">The Board of Directors shall put in place an appropriate MIS to enable effective oversight of technology governance. The Board MIS shall include, at a minimum:</w:t>
      </w:r>
    </w:p>
    <w:p>
      <w:pPr>
        <w:pStyle w:val="ListParagraph"/>
        <w:numPr>
          <w:ilvl w:val="0"/>
          <w:numId w:val="2"/>
        </w:numPr>
        <w:spacing w:before="60" w:after="60"/>
      </w:pPr>
      <w:r>
        <w:rPr>
          <w:rFonts w:ascii="Arial" w:cs="Arial" w:eastAsia="Arial" w:hAnsi="Arial"/>
          <w:color w:val="404040"/>
          <w:sz w:val="20"/>
          <w:szCs w:val="20"/>
        </w:rPr>
        <w:t xml:space="preserve">Status of IT Strategy implementation against defined milestones and KPIs.</w:t>
      </w:r>
    </w:p>
    <w:p>
      <w:pPr>
        <w:pStyle w:val="ListParagraph"/>
        <w:numPr>
          <w:ilvl w:val="0"/>
          <w:numId w:val="2"/>
        </w:numPr>
        <w:spacing w:before="60" w:after="60"/>
      </w:pPr>
      <w:r>
        <w:rPr>
          <w:rFonts w:ascii="Arial" w:cs="Arial" w:eastAsia="Arial" w:hAnsi="Arial"/>
          <w:color w:val="404040"/>
          <w:sz w:val="20"/>
          <w:szCs w:val="20"/>
        </w:rPr>
        <w:t xml:space="preserve">Progress on major technology-related projects approved by the Board.</w:t>
      </w:r>
    </w:p>
    <w:p>
      <w:pPr>
        <w:pStyle w:val="ListParagraph"/>
        <w:numPr>
          <w:ilvl w:val="0"/>
          <w:numId w:val="2"/>
        </w:numPr>
        <w:spacing w:before="60" w:after="60"/>
      </w:pPr>
      <w:r>
        <w:rPr>
          <w:rFonts w:ascii="Arial" w:cs="Arial" w:eastAsia="Arial" w:hAnsi="Arial"/>
          <w:color w:val="404040"/>
          <w:sz w:val="20"/>
          <w:szCs w:val="20"/>
        </w:rPr>
        <w:t xml:space="preserve">Exceptions from Board-approved IT policies and remediation actions.</w:t>
      </w:r>
    </w:p>
    <w:p>
      <w:pPr>
        <w:pStyle w:val="ListParagraph"/>
        <w:numPr>
          <w:ilvl w:val="0"/>
          <w:numId w:val="2"/>
        </w:numPr>
        <w:spacing w:before="60" w:after="60"/>
      </w:pPr>
      <w:r>
        <w:rPr>
          <w:rFonts w:ascii="Arial" w:cs="Arial" w:eastAsia="Arial" w:hAnsi="Arial"/>
          <w:color w:val="404040"/>
          <w:sz w:val="20"/>
          <w:szCs w:val="20"/>
        </w:rPr>
        <w:t xml:space="preserve">Summary of significant technology risks and incidents.</w:t>
      </w:r>
    </w:p>
    <w:p>
      <w:pPr>
        <w:pStyle w:val="ListParagraph"/>
        <w:numPr>
          <w:ilvl w:val="0"/>
          <w:numId w:val="2"/>
        </w:numPr>
        <w:spacing w:before="60" w:after="60"/>
      </w:pPr>
      <w:r>
        <w:rPr>
          <w:rFonts w:ascii="Arial" w:cs="Arial" w:eastAsia="Arial" w:hAnsi="Arial"/>
          <w:color w:val="404040"/>
          <w:sz w:val="20"/>
          <w:szCs w:val="20"/>
        </w:rPr>
        <w:t xml:space="preserve">Cyber security action plan implementation status and major threat/attack summaries.</w:t>
      </w:r>
    </w:p>
    <w:p>
      <w:pPr>
        <w:pStyle w:val="ListParagraph"/>
        <w:numPr>
          <w:ilvl w:val="0"/>
          <w:numId w:val="2"/>
        </w:numPr>
        <w:spacing w:before="60" w:after="60"/>
      </w:pPr>
      <w:r>
        <w:rPr>
          <w:rFonts w:ascii="Arial" w:cs="Arial" w:eastAsia="Arial" w:hAnsi="Arial"/>
          <w:color w:val="404040"/>
          <w:sz w:val="20"/>
          <w:szCs w:val="20"/>
        </w:rPr>
        <w:t xml:space="preserve">Status of regulatory compliance for technology-related requirements.</w:t>
      </w:r>
    </w:p>
    <w:p>
      <w:pPr>
        <w:spacing w:before="60" w:after="120"/>
      </w:pPr>
      <w:r>
        <w:t xml:space="preserve"/>
      </w:r>
    </w:p>
    <w:p>
      <w:pPr>
        <w:spacing w:before="80" w:after="80"/>
        <w:jc w:val="both"/>
      </w:pPr>
      <w:r>
        <w:rPr>
          <w:rFonts w:ascii="Arial" w:cs="Arial" w:eastAsia="Arial" w:hAnsi="Arial"/>
          <w:b w:val="false"/>
          <w:bCs w:val="false"/>
          <w:color w:val="404040"/>
          <w:sz w:val="20"/>
          <w:szCs w:val="20"/>
        </w:rPr>
        <w:t xml:space="preserve">The format and contents of the Board MIS shall be defined in a Board-approved policy document. The MIS shall be presented to the Board IT Committee at least quarterly and to the full Board at least annually.</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9.2 Management-Level MIS</w:t>
      </w:r>
    </w:p>
    <w:p>
      <w:pPr>
        <w:spacing w:before="80" w:after="80"/>
        <w:jc w:val="both"/>
      </w:pPr>
      <w:r>
        <w:rPr>
          <w:rFonts w:ascii="Arial" w:cs="Arial" w:eastAsia="Arial" w:hAnsi="Arial"/>
          <w:b w:val="false"/>
          <w:bCs w:val="false"/>
          <w:color w:val="404040"/>
          <w:sz w:val="20"/>
          <w:szCs w:val="20"/>
        </w:rPr>
        <w:t xml:space="preserve">Senior management shall formulate an appropriate MIS to monitor the implementation of the IT Governance and Risk Management Framework. The Management MIS shall include:</w:t>
      </w:r>
    </w:p>
    <w:p>
      <w:pPr>
        <w:pStyle w:val="ListParagraph"/>
        <w:numPr>
          <w:ilvl w:val="0"/>
          <w:numId w:val="2"/>
        </w:numPr>
        <w:spacing w:before="60" w:after="60"/>
      </w:pPr>
      <w:r>
        <w:rPr>
          <w:rFonts w:ascii="Arial" w:cs="Arial" w:eastAsia="Arial" w:hAnsi="Arial"/>
          <w:color w:val="404040"/>
          <w:sz w:val="20"/>
          <w:szCs w:val="20"/>
        </w:rPr>
        <w:t xml:space="preserve">Detailed technology project status reports.</w:t>
      </w:r>
    </w:p>
    <w:p>
      <w:pPr>
        <w:pStyle w:val="ListParagraph"/>
        <w:numPr>
          <w:ilvl w:val="0"/>
          <w:numId w:val="2"/>
        </w:numPr>
        <w:spacing w:before="60" w:after="60"/>
      </w:pPr>
      <w:r>
        <w:rPr>
          <w:rFonts w:ascii="Arial" w:cs="Arial" w:eastAsia="Arial" w:hAnsi="Arial"/>
          <w:color w:val="404040"/>
          <w:sz w:val="20"/>
          <w:szCs w:val="20"/>
        </w:rPr>
        <w:t xml:space="preserve">IT service delivery performance metrics and SLA compliance.</w:t>
      </w:r>
    </w:p>
    <w:p>
      <w:pPr>
        <w:pStyle w:val="ListParagraph"/>
        <w:numPr>
          <w:ilvl w:val="0"/>
          <w:numId w:val="2"/>
        </w:numPr>
        <w:spacing w:before="60" w:after="60"/>
      </w:pPr>
      <w:r>
        <w:rPr>
          <w:rFonts w:ascii="Arial" w:cs="Arial" w:eastAsia="Arial" w:hAnsi="Arial"/>
          <w:color w:val="404040"/>
          <w:sz w:val="20"/>
          <w:szCs w:val="20"/>
        </w:rPr>
        <w:t xml:space="preserve">Information security risk indicators and incident reports.</w:t>
      </w:r>
    </w:p>
    <w:p>
      <w:pPr>
        <w:pStyle w:val="ListParagraph"/>
        <w:numPr>
          <w:ilvl w:val="0"/>
          <w:numId w:val="2"/>
        </w:numPr>
        <w:spacing w:before="60" w:after="60"/>
      </w:pPr>
      <w:r>
        <w:rPr>
          <w:rFonts w:ascii="Arial" w:cs="Arial" w:eastAsia="Arial" w:hAnsi="Arial"/>
          <w:color w:val="404040"/>
          <w:sz w:val="20"/>
          <w:szCs w:val="20"/>
        </w:rPr>
        <w:t xml:space="preserve">IT budget utilization and variance analysis.</w:t>
      </w:r>
    </w:p>
    <w:p>
      <w:pPr>
        <w:pStyle w:val="ListParagraph"/>
        <w:numPr>
          <w:ilvl w:val="0"/>
          <w:numId w:val="2"/>
        </w:numPr>
        <w:spacing w:before="60" w:after="60"/>
      </w:pPr>
      <w:r>
        <w:rPr>
          <w:rFonts w:ascii="Arial" w:cs="Arial" w:eastAsia="Arial" w:hAnsi="Arial"/>
          <w:color w:val="404040"/>
          <w:sz w:val="20"/>
          <w:szCs w:val="20"/>
        </w:rPr>
        <w:t xml:space="preserve">Capacity utilization metrics across critical technology infrastructure.</w:t>
      </w:r>
    </w:p>
    <w:p>
      <w:pPr>
        <w:pStyle w:val="ListParagraph"/>
        <w:numPr>
          <w:ilvl w:val="0"/>
          <w:numId w:val="2"/>
        </w:numPr>
        <w:spacing w:before="60" w:after="60"/>
      </w:pPr>
      <w:r>
        <w:rPr>
          <w:rFonts w:ascii="Arial" w:cs="Arial" w:eastAsia="Arial" w:hAnsi="Arial"/>
          <w:color w:val="404040"/>
          <w:sz w:val="20"/>
          <w:szCs w:val="20"/>
        </w:rPr>
        <w:t xml:space="preserve">Audit findings and remediation status.</w:t>
      </w:r>
    </w:p>
    <w:p>
      <w:pPr>
        <w:pStyle w:val="ListParagraph"/>
        <w:numPr>
          <w:ilvl w:val="0"/>
          <w:numId w:val="2"/>
        </w:numPr>
        <w:spacing w:before="60" w:after="60"/>
      </w:pPr>
      <w:r>
        <w:rPr>
          <w:rFonts w:ascii="Arial" w:cs="Arial" w:eastAsia="Arial" w:hAnsi="Arial"/>
          <w:color w:val="404040"/>
          <w:sz w:val="20"/>
          <w:szCs w:val="20"/>
        </w:rPr>
        <w:t xml:space="preserve">Vendor and outsourcing performance metrics.</w:t>
      </w:r>
    </w:p>
    <w:p>
      <w:pPr>
        <w:spacing w:before="60" w:after="120"/>
      </w:pPr>
      <w:r>
        <w:t xml:space="preserve"/>
      </w:r>
    </w:p>
    <w:p>
      <w:pPr>
        <w:spacing w:before="80" w:after="80"/>
        <w:jc w:val="both"/>
      </w:pPr>
      <w:r>
        <w:rPr>
          <w:rFonts w:ascii="Arial" w:cs="Arial" w:eastAsia="Arial" w:hAnsi="Arial"/>
          <w:b w:val="false"/>
          <w:bCs w:val="false"/>
          <w:color w:val="404040"/>
          <w:sz w:val="20"/>
          <w:szCs w:val="20"/>
        </w:rPr>
        <w:t xml:space="preserve">The Management MIS shall be reviewed at the monthly IT Steering Committee meetings and reported upward to the Board IT Committee on a quarterly basis.</w:t>
      </w:r>
    </w:p>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10. Capacity Building and Training</w:t>
      </w:r>
    </w:p>
    <w:p>
      <w:pPr>
        <w:pStyle w:val="Heading2"/>
        <w:spacing w:before="240" w:after="120"/>
      </w:pPr>
      <w:r>
        <w:rPr>
          <w:rFonts w:ascii="Arial" w:cs="Arial" w:eastAsia="Arial" w:hAnsi="Arial"/>
          <w:b/>
          <w:bCs/>
          <w:color w:val="2E75B6"/>
          <w:sz w:val="26"/>
          <w:szCs w:val="26"/>
        </w:rPr>
        <w:t xml:space="preserve">10.1 Training Framework</w:t>
      </w:r>
    </w:p>
    <w:p>
      <w:pPr>
        <w:spacing w:before="80" w:after="80"/>
        <w:jc w:val="both"/>
      </w:pPr>
      <w:r>
        <w:rPr>
          <w:rFonts w:ascii="Arial" w:cs="Arial" w:eastAsia="Arial" w:hAnsi="Arial"/>
          <w:b w:val="false"/>
          <w:bCs w:val="false"/>
          <w:color w:val="404040"/>
          <w:sz w:val="20"/>
          <w:szCs w:val="20"/>
        </w:rPr>
        <w:t xml:space="preserve">An adequate training program for IT personnel is essential to maintaining the knowledge and skills necessary for effective technology governance and risk management. [Bank Name] shall maintain a structured capacity-building framework that ensures:</w:t>
      </w:r>
    </w:p>
    <w:p>
      <w:pPr>
        <w:pStyle w:val="ListParagraph"/>
        <w:numPr>
          <w:ilvl w:val="0"/>
          <w:numId w:val="2"/>
        </w:numPr>
        <w:spacing w:before="60" w:after="60"/>
      </w:pPr>
      <w:r>
        <w:rPr>
          <w:rFonts w:ascii="Arial" w:cs="Arial" w:eastAsia="Arial" w:hAnsi="Arial"/>
          <w:color w:val="404040"/>
          <w:sz w:val="20"/>
          <w:szCs w:val="20"/>
        </w:rPr>
        <w:t xml:space="preserve">Hiring and training processes are governed by appropriate policies and procedures.</w:t>
      </w:r>
    </w:p>
    <w:p>
      <w:pPr>
        <w:pStyle w:val="ListParagraph"/>
        <w:numPr>
          <w:ilvl w:val="0"/>
          <w:numId w:val="2"/>
        </w:numPr>
        <w:spacing w:before="60" w:after="60"/>
      </w:pPr>
      <w:r>
        <w:rPr>
          <w:rFonts w:ascii="Arial" w:cs="Arial" w:eastAsia="Arial" w:hAnsi="Arial"/>
          <w:color w:val="404040"/>
          <w:sz w:val="20"/>
          <w:szCs w:val="20"/>
        </w:rPr>
        <w:t xml:space="preserve">All staff members have the expertise necessary to perform their job functions and contribute to achieving institutional goals and objectives.</w:t>
      </w:r>
    </w:p>
    <w:p>
      <w:pPr>
        <w:pStyle w:val="ListParagraph"/>
        <w:numPr>
          <w:ilvl w:val="0"/>
          <w:numId w:val="2"/>
        </w:numPr>
        <w:spacing w:before="60" w:after="60"/>
      </w:pPr>
      <w:r>
        <w:rPr>
          <w:rFonts w:ascii="Arial" w:cs="Arial" w:eastAsia="Arial" w:hAnsi="Arial"/>
          <w:color w:val="404040"/>
          <w:sz w:val="20"/>
          <w:szCs w:val="20"/>
        </w:rPr>
        <w:t xml:space="preserve">Training programs for major new technologies are developed and delivered prior to deployment.</w:t>
      </w:r>
    </w:p>
    <w:p>
      <w:pPr>
        <w:pStyle w:val="ListParagraph"/>
        <w:numPr>
          <w:ilvl w:val="0"/>
          <w:numId w:val="2"/>
        </w:numPr>
        <w:spacing w:before="60" w:after="60"/>
      </w:pPr>
      <w:r>
        <w:rPr>
          <w:rFonts w:ascii="Arial" w:cs="Arial" w:eastAsia="Arial" w:hAnsi="Arial"/>
          <w:color w:val="404040"/>
          <w:sz w:val="20"/>
          <w:szCs w:val="20"/>
        </w:rPr>
        <w:t xml:space="preserve">Employees are encouraged to obtain well-recognized professional certifications in relevant fields.</w:t>
      </w:r>
    </w:p>
    <w:p>
      <w:pPr>
        <w:pStyle w:val="ListParagraph"/>
        <w:numPr>
          <w:ilvl w:val="0"/>
          <w:numId w:val="2"/>
        </w:numPr>
        <w:spacing w:before="60" w:after="60"/>
      </w:pPr>
      <w:r>
        <w:rPr>
          <w:rFonts w:ascii="Arial" w:cs="Arial" w:eastAsia="Arial" w:hAnsi="Arial"/>
          <w:color w:val="404040"/>
          <w:sz w:val="20"/>
          <w:szCs w:val="20"/>
        </w:rPr>
        <w:t xml:space="preserve">Staff with privileged system access or sensitive business functions receive additional and specific information security training.</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10.2 Skill Gap Assessment</w:t>
      </w:r>
    </w:p>
    <w:p>
      <w:pPr>
        <w:pStyle w:val="ListParagraph"/>
        <w:numPr>
          <w:ilvl w:val="0"/>
          <w:numId w:val="3"/>
        </w:numPr>
        <w:spacing w:before="60" w:after="60"/>
      </w:pPr>
      <w:r>
        <w:rPr>
          <w:rFonts w:ascii="Arial" w:cs="Arial" w:eastAsia="Arial" w:hAnsi="Arial"/>
          <w:color w:val="404040"/>
          <w:sz w:val="20"/>
          <w:szCs w:val="20"/>
        </w:rPr>
        <w:t xml:space="preserve">The CIO and relevant department heads shall conduct an annual assessment of material skill gaps across all technology-related functions.</w:t>
      </w:r>
    </w:p>
    <w:p>
      <w:pPr>
        <w:pStyle w:val="ListParagraph"/>
        <w:numPr>
          <w:ilvl w:val="0"/>
          <w:numId w:val="3"/>
        </w:numPr>
        <w:spacing w:before="60" w:after="60"/>
      </w:pPr>
      <w:r>
        <w:rPr>
          <w:rFonts w:ascii="Arial" w:cs="Arial" w:eastAsia="Arial" w:hAnsi="Arial"/>
          <w:color w:val="404040"/>
          <w:sz w:val="20"/>
          <w:szCs w:val="20"/>
        </w:rPr>
        <w:t xml:space="preserve">The assessment shall cover technical skills, security awareness, governance knowledge, and leadership capabilities.</w:t>
      </w:r>
    </w:p>
    <w:p>
      <w:pPr>
        <w:pStyle w:val="ListParagraph"/>
        <w:numPr>
          <w:ilvl w:val="0"/>
          <w:numId w:val="3"/>
        </w:numPr>
        <w:spacing w:before="60" w:after="60"/>
      </w:pPr>
      <w:r>
        <w:rPr>
          <w:rFonts w:ascii="Arial" w:cs="Arial" w:eastAsia="Arial" w:hAnsi="Arial"/>
          <w:color w:val="404040"/>
          <w:sz w:val="20"/>
          <w:szCs w:val="20"/>
        </w:rPr>
        <w:t xml:space="preserve">Based on the assessment, a training plan shall be developed and submitted to the IT Steering Committee for review and to the Board IT Committee for approval.</w:t>
      </w:r>
    </w:p>
    <w:p>
      <w:pPr>
        <w:pStyle w:val="ListParagraph"/>
        <w:numPr>
          <w:ilvl w:val="0"/>
          <w:numId w:val="3"/>
        </w:numPr>
        <w:spacing w:before="60" w:after="60"/>
      </w:pPr>
      <w:r>
        <w:rPr>
          <w:rFonts w:ascii="Arial" w:cs="Arial" w:eastAsia="Arial" w:hAnsi="Arial"/>
          <w:color w:val="404040"/>
          <w:sz w:val="20"/>
          <w:szCs w:val="20"/>
        </w:rPr>
        <w:t xml:space="preserve">Progress against the training plan shall be monitored and reported quarterly.</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10.3 Professional Certifications</w:t>
      </w:r>
    </w:p>
    <w:p>
      <w:pPr>
        <w:spacing w:before="80" w:after="80"/>
        <w:jc w:val="both"/>
      </w:pPr>
      <w:r>
        <w:rPr>
          <w:rFonts w:ascii="Arial" w:cs="Arial" w:eastAsia="Arial" w:hAnsi="Arial"/>
          <w:b w:val="false"/>
          <w:bCs w:val="false"/>
          <w:color w:val="404040"/>
          <w:sz w:val="20"/>
          <w:szCs w:val="20"/>
        </w:rPr>
        <w:t xml:space="preserve">The Bank shall facilitate and encourage staff in acquiring the following categories of professional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Relevant Certifications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Audience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Information Security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CISSP, CISM, CEH, CISA, CompTIA Security+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CISO and Security Team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Governance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CGEIT, COBIT 2019, ITIL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CIO, IT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Cloud &amp; Infrastructure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AWS, Azure, Google Cloud Certifications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Operations Team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Project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PMP, PRINCE2, Agile/Scrum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PMO and Project Managers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Risk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CRISC, CRMA, FRM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Risk and Compliance Staff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Data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CDMP, various vendor certifications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Data and Analytics Teams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Audit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CISA, CIA, QIA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Audit Staff</w:t>
            </w:r>
          </w:p>
        </w:tc>
      </w:tr>
    </w:tbl>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11. Compliance, Monitoring, and Review</w:t>
      </w:r>
    </w:p>
    <w:p>
      <w:pPr>
        <w:pStyle w:val="Heading2"/>
        <w:spacing w:before="240" w:after="120"/>
      </w:pPr>
      <w:r>
        <w:rPr>
          <w:rFonts w:ascii="Arial" w:cs="Arial" w:eastAsia="Arial" w:hAnsi="Arial"/>
          <w:b/>
          <w:bCs/>
          <w:color w:val="2E75B6"/>
          <w:sz w:val="26"/>
          <w:szCs w:val="26"/>
        </w:rPr>
        <w:t xml:space="preserve">11.1 Compliance Requirements</w:t>
      </w:r>
    </w:p>
    <w:p>
      <w:pPr>
        <w:spacing w:before="80" w:after="80"/>
        <w:jc w:val="both"/>
      </w:pPr>
      <w:r>
        <w:rPr>
          <w:rFonts w:ascii="Arial" w:cs="Arial" w:eastAsia="Arial" w:hAnsi="Arial"/>
          <w:b w:val="false"/>
          <w:bCs w:val="false"/>
          <w:color w:val="404040"/>
          <w:sz w:val="20"/>
          <w:szCs w:val="20"/>
        </w:rPr>
        <w:t xml:space="preserve">All divisions, departments, and individuals within the scope of this Framework are required to comply with its provisions. Non-compliance shall be managed through the Bank's disciplinary and remediation procedures.</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11.2 Framework Review</w:t>
      </w:r>
    </w:p>
    <w:p>
      <w:pPr>
        <w:spacing w:before="80" w:after="80"/>
        <w:jc w:val="both"/>
      </w:pPr>
      <w:r>
        <w:rPr>
          <w:rFonts w:ascii="Arial" w:cs="Arial" w:eastAsia="Arial" w:hAnsi="Arial"/>
          <w:b w:val="false"/>
          <w:bCs w:val="false"/>
          <w:color w:val="404040"/>
          <w:sz w:val="20"/>
          <w:szCs w:val="20"/>
        </w:rPr>
        <w:t xml:space="preserve">This Framework shall be subject to the following review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Review 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Scheduled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Every 3 years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CIO with ITSC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Triggered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Upon major regulatory, business, or technology 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Post-Incident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Following significant technology incident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CISO and CIO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Audit-Driven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Following significant audit findings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CIO with Audit Team</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11.3 Monitoring Mechanism</w:t>
      </w:r>
    </w:p>
    <w:p>
      <w:pPr>
        <w:pStyle w:val="ListParagraph"/>
        <w:numPr>
          <w:ilvl w:val="0"/>
          <w:numId w:val="2"/>
        </w:numPr>
        <w:spacing w:before="60" w:after="60"/>
      </w:pPr>
      <w:r>
        <w:rPr>
          <w:rFonts w:ascii="Arial" w:cs="Arial" w:eastAsia="Arial" w:hAnsi="Arial"/>
          <w:color w:val="404040"/>
          <w:sz w:val="20"/>
          <w:szCs w:val="20"/>
        </w:rPr>
        <w:t xml:space="preserve">The IT Steering Committee shall monitor compliance with this Framework on a monthly basis.</w:t>
      </w:r>
    </w:p>
    <w:p>
      <w:pPr>
        <w:pStyle w:val="ListParagraph"/>
        <w:numPr>
          <w:ilvl w:val="0"/>
          <w:numId w:val="2"/>
        </w:numPr>
        <w:spacing w:before="60" w:after="60"/>
      </w:pPr>
      <w:r>
        <w:rPr>
          <w:rFonts w:ascii="Arial" w:cs="Arial" w:eastAsia="Arial" w:hAnsi="Arial"/>
          <w:color w:val="404040"/>
          <w:sz w:val="20"/>
          <w:szCs w:val="20"/>
        </w:rPr>
        <w:t xml:space="preserve">The Board IT Committee shall review compliance status on a quarterly basis.</w:t>
      </w:r>
    </w:p>
    <w:p>
      <w:pPr>
        <w:pStyle w:val="ListParagraph"/>
        <w:numPr>
          <w:ilvl w:val="0"/>
          <w:numId w:val="2"/>
        </w:numPr>
        <w:spacing w:before="60" w:after="60"/>
      </w:pPr>
      <w:r>
        <w:rPr>
          <w:rFonts w:ascii="Arial" w:cs="Arial" w:eastAsia="Arial" w:hAnsi="Arial"/>
          <w:color w:val="404040"/>
          <w:sz w:val="20"/>
          <w:szCs w:val="20"/>
        </w:rPr>
        <w:t xml:space="preserve">The Internal Audit function shall independently assess compliance with this Framework as part of the annual IT Audit Program.</w:t>
      </w:r>
    </w:p>
    <w:p>
      <w:pPr>
        <w:pStyle w:val="ListParagraph"/>
        <w:numPr>
          <w:ilvl w:val="0"/>
          <w:numId w:val="2"/>
        </w:numPr>
        <w:spacing w:before="60" w:after="60"/>
      </w:pPr>
      <w:r>
        <w:rPr>
          <w:rFonts w:ascii="Arial" w:cs="Arial" w:eastAsia="Arial" w:hAnsi="Arial"/>
          <w:color w:val="404040"/>
          <w:sz w:val="20"/>
          <w:szCs w:val="20"/>
        </w:rPr>
        <w:t xml:space="preserve">Results of compliance monitoring shall be documented and reported through the defined MIS structure.</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11.4 Regulatory Reporting</w:t>
      </w:r>
    </w:p>
    <w:p>
      <w:pPr>
        <w:spacing w:before="80" w:after="80"/>
        <w:jc w:val="both"/>
      </w:pPr>
      <w:r>
        <w:rPr>
          <w:rFonts w:ascii="Arial" w:cs="Arial" w:eastAsia="Arial" w:hAnsi="Arial"/>
          <w:b w:val="false"/>
          <w:bCs w:val="false"/>
          <w:color w:val="404040"/>
          <w:sz w:val="20"/>
          <w:szCs w:val="20"/>
        </w:rPr>
        <w:t xml:space="preserve">The Bank shall comply with all SBP regulatory reporting requirements related to technology governance, including incident reporting to BPRD within forty-eight (48) hours of established information/cyber security breaches as required under BPRD Circular No. 05/2017.</w:t>
      </w:r>
    </w:p>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12. Definitions and Abbreviations</w:t>
      </w:r>
    </w:p>
    <w:p>
      <w:pPr>
        <w:pStyle w:val="Heading2"/>
        <w:spacing w:before="240" w:after="120"/>
      </w:pPr>
      <w:r>
        <w:rPr>
          <w:rFonts w:ascii="Arial" w:cs="Arial" w:eastAsia="Arial" w:hAnsi="Arial"/>
          <w:b/>
          <w:bCs/>
          <w:color w:val="2E75B6"/>
          <w:sz w:val="26"/>
          <w:szCs w:val="26"/>
        </w:rPr>
        <w:t xml:space="preserve">12.1 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Board of Directors (BoD)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The governing body of [Bank Name], responsible for overall corporate governance and strategic direction.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Board IT Committee (BITC)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 sub-committee of the Board established to provide specialized oversight of technology governance.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Steering Committee (ITSC)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 senior management committee responsible for operational oversight and implementation of IT governance.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Chief Information Officer — responsible for IT strategy and operations.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CISO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Chief Information Security Officer — responsible for information and cyber security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COBIT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Control Objectives for Information and Related Technologies — an IT governance framework.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CSP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Cloud Service Provider — entity providing cloud-based services to the Bank.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Strategy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 formal document approved by the Board covering the Bank's technology vision, objectives, and roadmap.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Digital Strategy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 Board-approved plan covering digital products, process digitization, and channel interoperability.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MIS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Management Information System — structured reporting to enable governance and decision-making.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PMO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Project Management Office — centralized function for technology project oversight.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SBP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State Bank of Pakistan.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SLA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Service Level Agreement — contractual performance standards for technology services.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SOPs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Standard Operating Procedures — detailed procedural documents for specific operational processes.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TSP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Technology Service Provider — third-party entity providing technology services to the Bank.</w:t>
            </w:r>
          </w:p>
        </w:tc>
      </w:tr>
    </w:tbl>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Appendix A: Related Documents</w:t>
      </w:r>
    </w:p>
    <w:p>
      <w:pPr>
        <w:spacing w:before="80" w:after="80"/>
        <w:jc w:val="both"/>
      </w:pPr>
      <w:r>
        <w:rPr>
          <w:rFonts w:ascii="Arial" w:cs="Arial" w:eastAsia="Arial" w:hAnsi="Arial"/>
          <w:b w:val="false"/>
          <w:bCs w:val="false"/>
          <w:color w:val="404040"/>
          <w:sz w:val="20"/>
          <w:szCs w:val="20"/>
        </w:rPr>
        <w:t xml:space="preserve">The following documents form part of or are related to this Framework:</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 No.</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Title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IT-GOV-002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Strategy Document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IT-GOV-003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Digital Strategy Document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IT-GOV-004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Board IT Committee Terms of Reference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IT-GOV-005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Steering Committee Terms of Reference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IT-SEC-001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Information Security Management Framework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IT-SEC-002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Cyber Security Action Plan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IT-OPS-001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Service Management Framework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IT-ACQ-001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System Development and Acquisition Policy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IT-BCP-001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Business Continuity and Disaster Recovery Framework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IT-AUD-001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Audit Program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Active</w:t>
            </w:r>
          </w:p>
        </w:tc>
      </w:tr>
    </w:tbl>
    <w:p>
      <w:pPr>
        <w:spacing w:before="120" w:after="120"/>
      </w:pPr>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Appendix B: SBP ETGRMF Compliance Mapping</w:t>
      </w:r>
    </w:p>
    <w:p>
      <w:pPr>
        <w:spacing w:before="80" w:after="80"/>
        <w:jc w:val="both"/>
      </w:pPr>
      <w:r>
        <w:rPr>
          <w:rFonts w:ascii="Arial" w:cs="Arial" w:eastAsia="Arial" w:hAnsi="Arial"/>
          <w:b w:val="false"/>
          <w:bCs w:val="false"/>
          <w:color w:val="404040"/>
          <w:sz w:val="20"/>
          <w:szCs w:val="20"/>
        </w:rPr>
        <w:t xml:space="preserve">The following table maps the provisions of this Framework to the requirements of SBP BPRD Circular No. 05/2017:</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SBP Requirement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Framework Section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1.1 (a-e)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Technology Governance Framework requirements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3 of this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Strategy requirements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5 of this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1.3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Digital Strategy requirements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6 of this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1.4.1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Board of Directors responsibilities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4.1 of this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1.4.2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Senior Management responsibilities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4.3 of this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1.5.1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Board IT Committee requirements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Sections 4.2 and this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1.5.2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Steering Committee requirements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4.4 of this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1.5.3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IT Management Structure (CISO independence)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4.6 of this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1.6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Policies, Standards and Procedures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8 of this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1.7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Management Information System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9 of this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1.8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Capacity Building / Training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04040"/>
                <w:sz w:val="20"/>
                <w:szCs w:val="20"/>
              </w:rPr>
              <w:t xml:space="preserve">Section 10 of this Framework</w:t>
            </w:r>
          </w:p>
        </w:tc>
      </w:tr>
    </w:tbl>
    <w:p>
      <w:pPr>
        <w:spacing w:before="240" w:after="120"/>
      </w:pPr>
      <w:r>
        <w:t xml:space="preserve"/>
      </w:r>
    </w:p>
    <w:p>
      <w:pPr>
        <w:pBdr>
          <w:top w:val="single" w:color="2E75B6" w:sz="8" w:space="4"/>
        </w:pBdr>
        <w:jc w:val="center"/>
      </w:pPr>
      <w:r>
        <w:rPr>
          <w:rFonts w:ascii="Arial" w:cs="Arial" w:eastAsia="Arial" w:hAnsi="Arial"/>
          <w:b/>
          <w:bCs/>
          <w:color w:val="1F4E79"/>
          <w:sz w:val="22"/>
          <w:szCs w:val="22"/>
        </w:rPr>
        <w:t xml:space="preserve">— END OF DOCUMENT —</w:t>
      </w:r>
    </w:p>
    <w:p>
      <w:pPr>
        <w:spacing w:before="60" w:after="120"/>
      </w:pPr>
      <w:r>
        <w:t xml:space="preserve"/>
      </w:r>
    </w:p>
    <w:p>
      <w:pPr>
        <w:jc w:val="center"/>
      </w:pPr>
      <w:r>
        <w:rPr>
          <w:rFonts w:ascii="Arial" w:cs="Arial" w:eastAsia="Arial" w:hAnsi="Arial"/>
          <w:i/>
          <w:iCs/>
          <w:color w:val="404040"/>
          <w:sz w:val="18"/>
          <w:szCs w:val="18"/>
        </w:rPr>
        <w:t xml:space="preserve">This document is the property of [Bank Name] and is classified as CONFIDENTIAL.</w:t>
      </w:r>
    </w:p>
    <w:p>
      <w:pPr>
        <w:jc w:val="center"/>
      </w:pPr>
      <w:r>
        <w:rPr>
          <w:rFonts w:ascii="Arial" w:cs="Arial" w:eastAsia="Arial" w:hAnsi="Arial"/>
          <w:i/>
          <w:iCs/>
          <w:color w:val="404040"/>
          <w:sz w:val="18"/>
          <w:szCs w:val="18"/>
        </w:rPr>
        <w:t xml:space="preserve">Unauthorized disclosure or reproduction is strictly prohibited.</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404040"/>
        <w:sz w:val="16"/>
        <w:szCs w:val="16"/>
      </w:rPr>
      <w:t xml:space="preserve">Policy No: IT-GOV-001 | Version: 1.0 | Approved by: Board of Directors</w:t>
    </w:r>
    <w:r>
      <w:rPr>
        <w:rFonts w:ascii="Arial" w:cs="Arial" w:eastAsia="Arial" w:hAnsi="Arial"/>
      </w:rPr>
      <w:t xml:space="preserve">	</w:t>
    </w:r>
    <w:r>
      <w:rPr>
        <w:rFonts w:ascii="Arial" w:cs="Arial" w:eastAsia="Arial" w:hAnsi="Arial"/>
        <w:color w:val="404040"/>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1F4E79"/>
        <w:sz w:val="18"/>
        <w:szCs w:val="18"/>
      </w:rPr>
      <w:t xml:space="preserve">[Bank Name] | Enterprise Technology Governance Framework</w:t>
    </w:r>
    <w:r>
      <w:rPr>
        <w:rFonts w:ascii="Arial" w:cs="Arial" w:eastAsia="Arial" w:hAnsi="Arial"/>
      </w:rPr>
      <w:t xml:space="preserve">	</w:t>
    </w:r>
    <w:r>
      <w:rPr>
        <w:rFonts w:ascii="Arial" w:cs="Arial" w:eastAsia="Arial" w:hAnsi="Arial"/>
        <w:b/>
        <w:bCs/>
        <w:color w:val="FF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2026-03-30T06:27:14.558Z</dcterms:created>
  <dcterms:modified xsi:type="dcterms:W3CDTF">2026-03-30T06:27:14.559Z</dcterms:modified>
</cp:coreProperties>
</file>

<file path=docProps/custom.xml><?xml version="1.0" encoding="utf-8"?>
<Properties xmlns="http://schemas.openxmlformats.org/officeDocument/2006/custom-properties" xmlns:vt="http://schemas.openxmlformats.org/officeDocument/2006/docPropsVTypes"/>
</file>