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[BANK NAME]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Network Security and Encryption SOP</w:t>
      </w:r>
    </w:p>
    <w:p>
      <w:pPr>
        <w:spacing w:before="280" w:after="280"/>
      </w:pPr>
      <w: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 No: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IT-SEC-005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Version: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Effective Date: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Owner: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CISO / Head of IT Operations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Steering Committee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Regulatory Ref: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SBP BPRD Circular No. 05/2017 — Sections 2.4.6, 2.4.7, 2.4.8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and Scope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SOP defines the mandatory procedures for managing network security architecture, firewall controls, intrusion detection/prevention systems, remote access, and data encryption across all [Bank Name] systems and infrastructure. This SOP implements SBP ETGRMF Sections 2.4.6 (Network Security), 2.4.7 (Remote Access), and 2.4.8 (Encryption).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Network Security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Network Zones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Bank's network is divided into the following security zones, each with defined controls: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25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Systems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Internet Zone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Untrusted public internet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Internet connectivity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NGFW, IPS, DDoS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DMZ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Demilitarized — public-facing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 servers, API gateway, email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WAF, IPS, load balancer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Internal Zone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General staff network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Workstations, printers, email clients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Firewall, NAC, EDR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Zone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 banking systems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CBS, databases, SWIFT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Micro-segmentation, strict ACLs, MFA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 Zone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 and system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consoles, SIEM, PAM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Dedicated admin network, MFA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 Zone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Disaster Recovery site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 replicas of all critical systems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Mirror controls to primary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Firewall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firewall rules shall be based on a default-deny policy — only explicitly required traffic is permitted.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Firewall rule changes shall follow the Change Management SOP (IT-CHG-001).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Firewall rule reviews shall be conducted quarterly by the CISO and Head of IT Operations.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rule changes shall be documented with business justification, approver, and implementation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Firewall configurations shall be backed up daily to a secure, separate storage location.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Unused rules shall be identified and removed during quarterly reviews.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Emergency firewall changes require verbal approval from CISO with written documentation within 24 hours.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IDS/IPS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IDS/IPS signatures shall be updated at least weekly.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IPS alerts shall be reviewed by the SOC team within the defined SLA based on severity.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IPS policies shall be tuned quarterly to reduce false positives while maintaining detection effectiveness.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IDS/IPS placement review shall be conducted annually or following major network changes.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Remote Access Procedure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3.1 Approved Remote Access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6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Permitted Users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SSL/IPSec VPN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staff (approved)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Bank-issued device; MFA mandatory; minimum TLS 1.2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PAM-brokered session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Privileged users only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PAM solution; session recording; just-in-time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 remote access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Approved vendors only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Time-limited; monitored; no standing access; MFA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 RDP/SSH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 PERMITTED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direct remote management must route through PAM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3.2 Remote Access Request Procedure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Staff member submits remote access request via ITSM portal with business justification.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Line Manager approves the request.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 Access Management verifies device compliance (Bank-issued, patched, encrypted).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CISO provides final approval for all remote access grants.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VPN credentials issued and user enrolled in MFA.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Remote access logged in the Access Register (IT-SEC-REG-001).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Remote access rights reviewed quarterly; inactive access revoked within 30 days.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Encryption Standards and Key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4.1 Encryption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6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Standard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TLS 1.2 or higher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web applications, APIs, email, inter-system 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at Rest — Databases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AES-256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databases containing Confidential or higher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at Rest — Storage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AES-256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servers, NAS, SAN, backup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at Rest — 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AES-256 (BitLocker/FileVault)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laptops, mobile devices, USB drives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Application-level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AES-256 / RSA-2048+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PINs, passwords, authentication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SWIFT / Payment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SWIFT CSCF standards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SWIFT and payment gateway communications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Deprecated algorithms (MD5, SHA-1, DES, 3DES, RC4, SSL, TLS 1.0, TLS 1.1) are PROHIBITED and must not be used in any new or existing system.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 Key Management Procedure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Cryptographic keys shall be generated using approved, certified hardware security modules (HSMs) where feasible.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Keys shall be stored in an HSM or approved key management system — never in plaintext.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Key access shall be controlled through dual-control and split-knowledge procedures.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Key rotation schedule: Symmetric keys — annual; TLS certificates — annual (or upon compromise); Signing keys — every 2 years.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Compromised or suspected compromised keys shall be revoked immediately and replaced.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Key management activities (generation, rotation, revocation, destruction) shall be logged and audited.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Key destruction shall use approved cryptographic erasure methods with documented evidence.</w:t>
      </w:r>
    </w:p>
    <w:p>
      <w:pPr>
        <w:spacing w:before="200" w:after="200"/>
      </w:pPr>
      <w:r>
        <w:t xml:space="preserve"/>
      </w:r>
    </w:p>
    <w:p>
      <w:pPr>
        <w:pBdr>
          <w:top w:val="single" w:color="2E75B6" w:sz="8" w:space="4"/>
        </w:pBd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6"/>
        <w:szCs w:val="16"/>
      </w:rPr>
      <w:t xml:space="preserve">IT-SEC-005 | v1.0 | Owner: CISO / Head IT Ops</w:t>
    </w:r>
    <w:r>
      <w:t xml:space="preserve">	</w:t>
    </w:r>
    <w:r>
      <w:rPr>
        <w:rFonts w:ascii="Arial" w:cs="Arial" w:eastAsia="Arial" w:hAnsi="Arial"/>
        <w:color w:val="40404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[Bank Name] | Network Security and Encryption SOP</w:t>
    </w:r>
    <w:r>
      <w:t xml:space="preserve">	</w:t>
    </w:r>
    <w:r>
      <w:rPr>
        <w:rFonts w:ascii="Arial" w:cs="Arial" w:eastAsia="Arial" w:hAnsi="Arial"/>
        <w:b/>
        <w:bCs/>
        <w:color w:val="FF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2026-03-30T08:28:42.400Z</dcterms:created>
  <dcterms:modified xsi:type="dcterms:W3CDTF">2026-03-30T08:28:42.400Z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