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C4 - Secure Configuration of Enterprise Assets &amp; Software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C4-SCEAS-POL</w:t>
            </w:r>
          </w:p>
        </w:tc>
        <w:tc>
          <w:tcPr>
            <w:tcW w:type="dxa" w:w="1440"/>
          </w:tcPr>
          <w:p>
            <w:r>
              <w:t>1.0</w:t>
            </w:r>
          </w:p>
        </w:tc>
        <w:tc>
          <w:tcPr>
            <w:tcW w:type="dxa" w:w="1440"/>
          </w:tcPr>
          <w:p>
            <w:r>
              <w:t>[Information Security Manager]</w:t>
            </w:r>
          </w:p>
        </w:tc>
        <w:tc>
          <w:tcPr>
            <w:tcW w:type="dxa" w:w="1440"/>
          </w:tcPr>
          <w:p>
            <w:r>
              <w:t>[Effective Date]</w:t>
            </w:r>
          </w:p>
        </w:tc>
        <w:tc>
          <w:tcPr>
            <w:tcW w:type="dxa" w:w="1440"/>
          </w:tcPr>
          <w:p>
            <w:r>
              <w:t>CIS Controls v8</w:t>
            </w:r>
          </w:p>
        </w:tc>
        <w:tc>
          <w:tcPr>
            <w:tcW w:type="dxa" w:w="1440"/>
          </w:tcPr>
          <w:p>
            <w:r>
              <w:t>Internal</w:t>
            </w:r>
          </w:p>
        </w:tc>
      </w:tr>
    </w:tbl>
    <w:p>
      <w:pPr>
        <w:pStyle w:val="Heading2"/>
      </w:pPr>
      <w:r>
        <w:t>Purpose</w:t>
      </w:r>
    </w:p>
    <w:p>
      <w:r>
        <w:t>This policy establishes mandatory requirements for securely configuring enterprise assets and software throughout their lifecycle. It ensures that approved secure configuration baselines are defined, implemented, maintained, and monitored for unauthorised change or configuration drift.</w:t>
      </w:r>
    </w:p>
    <w:p>
      <w:r>
        <w:t>The objectives of this policy are to:</w:t>
      </w:r>
    </w:p>
    <w:p>
      <w:pPr>
        <w:pStyle w:val="ListBullet"/>
      </w:pPr>
      <w:r>
        <w:t>Reduce the attack surface of enterprise assets and software.</w:t>
      </w:r>
    </w:p>
    <w:p>
      <w:pPr>
        <w:pStyle w:val="ListBullet"/>
      </w:pPr>
      <w:r>
        <w:t>Ensure systems are deployed in a hardened and supportable state.</w:t>
      </w:r>
    </w:p>
    <w:p>
      <w:pPr>
        <w:pStyle w:val="ListBullet"/>
      </w:pPr>
      <w:r>
        <w:t>Prevent insecure default configurations from being used in production.</w:t>
      </w:r>
    </w:p>
    <w:p>
      <w:pPr>
        <w:pStyle w:val="ListBullet"/>
      </w:pPr>
      <w:r>
        <w:t>Enable automated detection of configuration drift from approved baselines.</w:t>
      </w:r>
    </w:p>
    <w:p>
      <w:pPr>
        <w:pStyle w:val="ListBullet"/>
      </w:pPr>
      <w:r>
        <w:t>Support consistent, auditable configuration management across the organisation.</w:t>
      </w:r>
    </w:p>
    <w:p>
      <w:pPr>
        <w:pStyle w:val="ListBullet"/>
      </w:pPr>
      <w:r>
        <w:t>Ensure deviations from secure configuration requirements are risk-assessed, authorised, time-bound, and remediated.</w:t>
      </w:r>
    </w:p>
    <w:p>
      <w:pPr>
        <w:pStyle w:val="Heading2"/>
      </w:pPr>
      <w:r>
        <w:t>Scope</w:t>
      </w:r>
    </w:p>
    <w:p>
      <w:r>
        <w:t>This policy applies to all enterprise assets and software owned, leased, operated, administered, or connected to the organisation’s environments, including assets managed by employees, contractors, managed service providers, and other authorised third parties.</w:t>
      </w:r>
    </w:p>
    <w:p>
      <w:r>
        <w:t>In scope assets and software include, but are not limited to:</w:t>
      </w:r>
    </w:p>
    <w:p>
      <w:pPr>
        <w:pStyle w:val="ListBullet"/>
      </w:pPr>
      <w:r>
        <w:t>Servers, workstations, laptops, tablets, and mobile devices.</w:t>
      </w:r>
    </w:p>
    <w:p>
      <w:pPr>
        <w:pStyle w:val="ListBullet"/>
      </w:pPr>
      <w:r>
        <w:t>Network devices, including firewalls, routers, switches, wireless access points, load balancers, and VPN gateways.</w:t>
      </w:r>
    </w:p>
    <w:p>
      <w:pPr>
        <w:pStyle w:val="ListBullet"/>
      </w:pPr>
      <w:r>
        <w:t>Cloud-hosted infrastructure, platform services, containers, serverless services, and virtual machines.</w:t>
      </w:r>
    </w:p>
    <w:p>
      <w:pPr>
        <w:pStyle w:val="ListBullet"/>
      </w:pPr>
      <w:r>
        <w:t>Identity, directory, authentication, and access management systems.</w:t>
      </w:r>
    </w:p>
    <w:p>
      <w:pPr>
        <w:pStyle w:val="ListBullet"/>
      </w:pPr>
      <w:r>
        <w:t>Databases, middleware, web servers, application servers, and endpoint software.</w:t>
      </w:r>
    </w:p>
    <w:p>
      <w:pPr>
        <w:pStyle w:val="ListBullet"/>
      </w:pPr>
      <w:r>
        <w:t>Commercial off-the-shelf software, open-source software, internally developed software, and software-as-a-service administrative configurations.</w:t>
      </w:r>
    </w:p>
    <w:p>
      <w:pPr>
        <w:pStyle w:val="ListBullet"/>
      </w:pPr>
      <w:r>
        <w:t>Security tools, monitoring platforms, backup platforms, and management consoles.</w:t>
      </w:r>
    </w:p>
    <w:p>
      <w:pPr>
        <w:pStyle w:val="ListBullet"/>
      </w:pPr>
      <w:r>
        <w:t>Operational technology and specialised systems where configuration management is technically feasible and approved by the asset owner.</w:t>
      </w:r>
    </w:p>
    <w:p>
      <w:r>
        <w:t>This policy applies across all environments, including production, development, test, staging, disaster recovery, cloud, remote work, and third-party managed environments.</w:t>
      </w:r>
    </w:p>
    <w:p>
      <w:r>
        <w:t>Where technical constraints prevent full implementation, compensating controls shall be documented and approved through the exception process defined in this policy.</w:t>
      </w:r>
    </w:p>
    <w:p>
      <w:pPr>
        <w:pStyle w:val="Heading2"/>
      </w:pPr>
      <w:r>
        <w:t>Policy Statements</w:t>
      </w:r>
    </w:p>
    <w:p>
      <w:pPr>
        <w:pStyle w:val="ListBullet"/>
      </w:pPr>
      <w:r>
        <w:t>The organisation shall maintain approved secure configuration baselines for enterprise assets and software based on recognised industry hardening guidance, vendor recommendations, security requirements, and organisational risk tolerance.</w:t>
      </w:r>
    </w:p>
    <w:p>
      <w:pPr>
        <w:pStyle w:val="ListBullet"/>
      </w:pPr>
      <w:r>
        <w:t>Secure configuration baselines shall be defined for all major technology classes used by the organisation, including operating systems, endpoint devices, network devices, cloud services, databases, containers, and core business applications.</w:t>
      </w:r>
    </w:p>
    <w:p>
      <w:pPr>
        <w:pStyle w:val="ListBullet"/>
      </w:pPr>
      <w:r>
        <w:t>Secure configuration baselines shall specify required settings for security-relevant areas, including authentication, authorisation, logging, encryption, remote access, administrative services, network exposure, default accounts, password controls, session controls, unnecessary services, and security tooling.</w:t>
      </w:r>
    </w:p>
    <w:p>
      <w:pPr>
        <w:pStyle w:val="ListBullet"/>
      </w:pPr>
      <w:r>
        <w:t>Enterprise assets and software shall be configured using an approved secure baseline before being connected to production networks, processing organisational data, or being made available to users.</w:t>
      </w:r>
    </w:p>
    <w:p>
      <w:pPr>
        <w:pStyle w:val="ListBullet"/>
      </w:pPr>
      <w:r>
        <w:t>Default vendor configurations shall not be used in production unless reviewed, hardened, approved, and documented.</w:t>
      </w:r>
    </w:p>
    <w:p>
      <w:pPr>
        <w:pStyle w:val="ListBullet"/>
      </w:pPr>
      <w:r>
        <w:t>Default passwords, default shared accounts, unnecessary sample accounts, demonstration services, and unused vendor-enabled access methods shall be removed, disabled, or changed before deployment.</w:t>
      </w:r>
    </w:p>
    <w:p>
      <w:pPr>
        <w:pStyle w:val="ListBullet"/>
      </w:pPr>
      <w:r>
        <w:t>Unnecessary services, ports, protocols, software, features, and administrative interfaces shall be disabled or removed unless there is a documented business need and approved risk acceptance.</w:t>
      </w:r>
    </w:p>
    <w:p>
      <w:pPr>
        <w:pStyle w:val="ListBullet"/>
      </w:pPr>
      <w:r>
        <w:t>Administrative interfaces shall be restricted to authorised users, approved management networks, secure access methods, and monitored administrative sessions where technically feasible.</w:t>
      </w:r>
    </w:p>
    <w:p>
      <w:pPr>
        <w:pStyle w:val="ListBullet"/>
      </w:pPr>
      <w:r>
        <w:t>Secure configuration baselines shall be implemented using automated configuration management, endpoint management, infrastructure-as-code, mobile device management, cloud policy enforcement, or equivalent centrally managed tooling wherever feasible.</w:t>
      </w:r>
    </w:p>
    <w:p>
      <w:pPr>
        <w:pStyle w:val="ListBullet"/>
      </w:pPr>
      <w:r>
        <w:t>Manual configuration shall be permitted only where automation is not technically feasible or where a documented operational need exists. Manually configured assets shall still be validated against the approved baseline.</w:t>
      </w:r>
    </w:p>
    <w:p>
      <w:pPr>
        <w:pStyle w:val="ListBullet"/>
      </w:pPr>
      <w:r>
        <w:t>Configuration settings for enterprise assets and software shall be recorded in an authorised system of record, configuration management database, endpoint management platform, cloud management platform, or equivalent approved repository.</w:t>
      </w:r>
    </w:p>
    <w:p>
      <w:pPr>
        <w:pStyle w:val="ListBullet"/>
      </w:pPr>
      <w:r>
        <w:t>Configuration standards and build images shall be version-controlled, access-controlled, and protected from unauthorised modification.</w:t>
      </w:r>
    </w:p>
    <w:p>
      <w:pPr>
        <w:pStyle w:val="ListBullet"/>
      </w:pPr>
      <w:r>
        <w:t>Changes to approved secure configuration baselines shall follow the organisation’s change management process and shall include security review, testing, approval, implementation planning, and rollback considerations.</w:t>
      </w:r>
    </w:p>
    <w:p>
      <w:pPr>
        <w:pStyle w:val="ListBullet"/>
      </w:pPr>
      <w:r>
        <w:t>Configuration changes to production systems shall be approved before implementation, except for emergency changes required to address active incidents or urgent security risks. Emergency changes shall be retrospectively reviewed and documented.</w:t>
      </w:r>
    </w:p>
    <w:p>
      <w:pPr>
        <w:pStyle w:val="ListBullet"/>
      </w:pPr>
      <w:r>
        <w:t>The organisation shall implement automated configuration drift detection for supported assets and software to identify deviations from approved secure baselines.</w:t>
      </w:r>
    </w:p>
    <w:p>
      <w:pPr>
        <w:pStyle w:val="ListBullet"/>
      </w:pPr>
      <w:r>
        <w:t>Configuration drift detection shall be performed at a frequency appropriate to the criticality of the asset, exposure of the system, and risk to the organisation.</w:t>
      </w:r>
    </w:p>
    <w:p>
      <w:pPr>
        <w:pStyle w:val="ListBullet"/>
      </w:pPr>
      <w:r>
        <w:t>The following minimum monitoring frequencies shall apply unless a stricter requirement is defined by the asset owner or security team:</w:t>
      </w:r>
    </w:p>
    <w:tbl>
      <w:tblPr>
        <w:tblStyle w:val="TableGrid"/>
        <w:tblW w:type="auto" w:w="0"/>
        <w:tblLook w:firstColumn="1" w:firstRow="1" w:lastColumn="0" w:lastRow="0" w:noHBand="0" w:noVBand="1" w:val="04A0"/>
      </w:tblPr>
      <w:tblGrid>
        <w:gridCol w:w="2880"/>
        <w:gridCol w:w="2880"/>
        <w:gridCol w:w="2880"/>
      </w:tblGrid>
      <w:tr>
        <w:tc>
          <w:tcPr>
            <w:tcW w:type="dxa" w:w="2880"/>
          </w:tcPr>
          <w:p>
            <w:r>
              <w:t>Asset or Software Category</w:t>
            </w:r>
          </w:p>
        </w:tc>
        <w:tc>
          <w:tcPr>
            <w:tcW w:type="dxa" w:w="2880"/>
          </w:tcPr>
          <w:p>
            <w:r>
              <w:t>Minimum Drift Detection Frequency</w:t>
            </w:r>
          </w:p>
        </w:tc>
        <w:tc>
          <w:tcPr>
            <w:tcW w:type="dxa" w:w="2880"/>
          </w:tcPr>
          <w:p>
            <w:r>
              <w:t>Required Action for Unauthorised Drift</w:t>
            </w:r>
          </w:p>
        </w:tc>
      </w:tr>
      <w:tr>
        <w:tc>
          <w:tcPr>
            <w:tcW w:type="dxa" w:w="2880"/>
          </w:tcPr>
          <w:p>
            <w:r>
              <w:t>Internet-facing systems and cloud administrative configurations</w:t>
            </w:r>
          </w:p>
        </w:tc>
        <w:tc>
          <w:tcPr>
            <w:tcW w:type="dxa" w:w="2880"/>
          </w:tcPr>
          <w:p>
            <w:r>
              <w:t>Daily</w:t>
            </w:r>
          </w:p>
        </w:tc>
        <w:tc>
          <w:tcPr>
            <w:tcW w:type="dxa" w:w="2880"/>
          </w:tcPr>
          <w:p>
            <w:r>
              <w:t>Investigate within 1 business day</w:t>
            </w:r>
          </w:p>
        </w:tc>
      </w:tr>
      <w:tr>
        <w:tc>
          <w:tcPr>
            <w:tcW w:type="dxa" w:w="2880"/>
          </w:tcPr>
          <w:p>
            <w:r>
              <w:t>Critical servers, identity systems, and security platforms</w:t>
            </w:r>
          </w:p>
        </w:tc>
        <w:tc>
          <w:tcPr>
            <w:tcW w:type="dxa" w:w="2880"/>
          </w:tcPr>
          <w:p>
            <w:r>
              <w:t>Daily</w:t>
            </w:r>
          </w:p>
        </w:tc>
        <w:tc>
          <w:tcPr>
            <w:tcW w:type="dxa" w:w="2880"/>
          </w:tcPr>
          <w:p>
            <w:r>
              <w:t>Investigate within 1 business day</w:t>
            </w:r>
          </w:p>
        </w:tc>
      </w:tr>
      <w:tr>
        <w:tc>
          <w:tcPr>
            <w:tcW w:type="dxa" w:w="2880"/>
          </w:tcPr>
          <w:p>
            <w:r>
              <w:t>Standard servers and databases</w:t>
            </w:r>
          </w:p>
        </w:tc>
        <w:tc>
          <w:tcPr>
            <w:tcW w:type="dxa" w:w="2880"/>
          </w:tcPr>
          <w:p>
            <w:r>
              <w:t>Weekly</w:t>
            </w:r>
          </w:p>
        </w:tc>
        <w:tc>
          <w:tcPr>
            <w:tcW w:type="dxa" w:w="2880"/>
          </w:tcPr>
          <w:p>
            <w:r>
              <w:t>Investigate within 5 business days</w:t>
            </w:r>
          </w:p>
        </w:tc>
      </w:tr>
      <w:tr>
        <w:tc>
          <w:tcPr>
            <w:tcW w:type="dxa" w:w="2880"/>
          </w:tcPr>
          <w:p>
            <w:r>
              <w:t>End-user computing devices</w:t>
            </w:r>
          </w:p>
        </w:tc>
        <w:tc>
          <w:tcPr>
            <w:tcW w:type="dxa" w:w="2880"/>
          </w:tcPr>
          <w:p>
            <w:r>
              <w:t>Weekly</w:t>
            </w:r>
          </w:p>
        </w:tc>
        <w:tc>
          <w:tcPr>
            <w:tcW w:type="dxa" w:w="2880"/>
          </w:tcPr>
          <w:p>
            <w:r>
              <w:t>Investigate within 5 business days</w:t>
            </w:r>
          </w:p>
        </w:tc>
      </w:tr>
      <w:tr>
        <w:tc>
          <w:tcPr>
            <w:tcW w:type="dxa" w:w="2880"/>
          </w:tcPr>
          <w:p>
            <w:r>
              <w:t>Network infrastructure</w:t>
            </w:r>
          </w:p>
        </w:tc>
        <w:tc>
          <w:tcPr>
            <w:tcW w:type="dxa" w:w="2880"/>
          </w:tcPr>
          <w:p>
            <w:r>
              <w:t>Weekly</w:t>
            </w:r>
          </w:p>
        </w:tc>
        <w:tc>
          <w:tcPr>
            <w:tcW w:type="dxa" w:w="2880"/>
          </w:tcPr>
          <w:p>
            <w:r>
              <w:t>Investigate within 5 business days</w:t>
            </w:r>
          </w:p>
        </w:tc>
      </w:tr>
      <w:tr>
        <w:tc>
          <w:tcPr>
            <w:tcW w:type="dxa" w:w="2880"/>
          </w:tcPr>
          <w:p>
            <w:r>
              <w:t>Mobile devices</w:t>
            </w:r>
          </w:p>
        </w:tc>
        <w:tc>
          <w:tcPr>
            <w:tcW w:type="dxa" w:w="2880"/>
          </w:tcPr>
          <w:p>
            <w:r>
              <w:t>Weekly</w:t>
            </w:r>
          </w:p>
        </w:tc>
        <w:tc>
          <w:tcPr>
            <w:tcW w:type="dxa" w:w="2880"/>
          </w:tcPr>
          <w:p>
            <w:r>
              <w:t>Investigate within 5 business days</w:t>
            </w:r>
          </w:p>
        </w:tc>
      </w:tr>
      <w:tr>
        <w:tc>
          <w:tcPr>
            <w:tcW w:type="dxa" w:w="2880"/>
          </w:tcPr>
          <w:p>
            <w:r>
              <w:t>Development and test environments</w:t>
            </w:r>
          </w:p>
        </w:tc>
        <w:tc>
          <w:tcPr>
            <w:tcW w:type="dxa" w:w="2880"/>
          </w:tcPr>
          <w:p>
            <w:r>
              <w:t>Monthly</w:t>
            </w:r>
          </w:p>
        </w:tc>
        <w:tc>
          <w:tcPr>
            <w:tcW w:type="dxa" w:w="2880"/>
          </w:tcPr>
          <w:p>
            <w:r>
              <w:t>Investigate within 10 business days</w:t>
            </w:r>
          </w:p>
        </w:tc>
      </w:tr>
      <w:tr>
        <w:tc>
          <w:tcPr>
            <w:tcW w:type="dxa" w:w="2880"/>
          </w:tcPr>
          <w:p>
            <w:r>
              <w:t>Low-risk specialised systems</w:t>
            </w:r>
          </w:p>
        </w:tc>
        <w:tc>
          <w:tcPr>
            <w:tcW w:type="dxa" w:w="2880"/>
          </w:tcPr>
          <w:p>
            <w:r>
              <w:t>Monthly</w:t>
            </w:r>
          </w:p>
        </w:tc>
        <w:tc>
          <w:tcPr>
            <w:tcW w:type="dxa" w:w="2880"/>
          </w:tcPr>
          <w:p>
            <w:r>
              <w:t>Investigate within 10 business days</w:t>
            </w:r>
          </w:p>
        </w:tc>
      </w:tr>
    </w:tbl>
    <w:p>
      <w:pPr>
        <w:pStyle w:val="ListBullet"/>
      </w:pPr>
      <w:r>
        <w:t>Unauthorised configuration drift shall be remediated within timeframes based on severity, business impact, and asset criticality.</w:t>
      </w:r>
    </w:p>
    <w:p>
      <w:pPr>
        <w:pStyle w:val="ListBullet"/>
      </w:pPr>
      <w:r>
        <w:t>The following remediation timeframes shall apply unless otherwise directed by the security team during an incident or heightened threat condition:</w:t>
      </w:r>
    </w:p>
    <w:tbl>
      <w:tblPr>
        <w:tblStyle w:val="TableGrid"/>
        <w:tblW w:type="auto" w:w="0"/>
        <w:tblLook w:firstColumn="1" w:firstRow="1" w:lastColumn="0" w:lastRow="0" w:noHBand="0" w:noVBand="1" w:val="04A0"/>
      </w:tblPr>
      <w:tblGrid>
        <w:gridCol w:w="2880"/>
        <w:gridCol w:w="2880"/>
        <w:gridCol w:w="2880"/>
      </w:tblGrid>
      <w:tr>
        <w:tc>
          <w:tcPr>
            <w:tcW w:type="dxa" w:w="2880"/>
          </w:tcPr>
          <w:p>
            <w:r>
              <w:t>Drift Severity</w:t>
            </w:r>
          </w:p>
        </w:tc>
        <w:tc>
          <w:tcPr>
            <w:tcW w:type="dxa" w:w="2880"/>
          </w:tcPr>
          <w:p>
            <w:r>
              <w:t>Description</w:t>
            </w:r>
          </w:p>
        </w:tc>
        <w:tc>
          <w:tcPr>
            <w:tcW w:type="dxa" w:w="2880"/>
          </w:tcPr>
          <w:p>
            <w:r>
              <w:t>Maximum Remediation Timeframe</w:t>
            </w:r>
          </w:p>
        </w:tc>
      </w:tr>
      <w:tr>
        <w:tc>
          <w:tcPr>
            <w:tcW w:type="dxa" w:w="2880"/>
          </w:tcPr>
          <w:p>
            <w:r>
              <w:t>Critical</w:t>
            </w:r>
          </w:p>
        </w:tc>
        <w:tc>
          <w:tcPr>
            <w:tcW w:type="dxa" w:w="2880"/>
          </w:tcPr>
          <w:p>
            <w:r>
              <w:t>Drift that exposes the asset to direct compromise, disables core security controls, weakens authentication, exposes sensitive data, or creates internet-facing risk</w:t>
            </w:r>
          </w:p>
        </w:tc>
        <w:tc>
          <w:tcPr>
            <w:tcW w:type="dxa" w:w="2880"/>
          </w:tcPr>
          <w:p>
            <w:r>
              <w:t>24 hours</w:t>
            </w:r>
          </w:p>
        </w:tc>
      </w:tr>
      <w:tr>
        <w:tc>
          <w:tcPr>
            <w:tcW w:type="dxa" w:w="2880"/>
          </w:tcPr>
          <w:p>
            <w:r>
              <w:t>High</w:t>
            </w:r>
          </w:p>
        </w:tc>
        <w:tc>
          <w:tcPr>
            <w:tcW w:type="dxa" w:w="2880"/>
          </w:tcPr>
          <w:p>
            <w:r>
              <w:t>Drift that materially reduces security posture, enables unauthorised access paths, disables important logging, or weakens administrative control</w:t>
            </w:r>
          </w:p>
        </w:tc>
        <w:tc>
          <w:tcPr>
            <w:tcW w:type="dxa" w:w="2880"/>
          </w:tcPr>
          <w:p>
            <w:r>
              <w:t>5 business days</w:t>
            </w:r>
          </w:p>
        </w:tc>
      </w:tr>
      <w:tr>
        <w:tc>
          <w:tcPr>
            <w:tcW w:type="dxa" w:w="2880"/>
          </w:tcPr>
          <w:p>
            <w:r>
              <w:t>Medium</w:t>
            </w:r>
          </w:p>
        </w:tc>
        <w:tc>
          <w:tcPr>
            <w:tcW w:type="dxa" w:w="2880"/>
          </w:tcPr>
          <w:p>
            <w:r>
              <w:t>Drift that reduces compliance with the baseline but does not immediately expose critical services or sensitive data</w:t>
            </w:r>
          </w:p>
        </w:tc>
        <w:tc>
          <w:tcPr>
            <w:tcW w:type="dxa" w:w="2880"/>
          </w:tcPr>
          <w:p>
            <w:r>
              <w:t>15 business days</w:t>
            </w:r>
          </w:p>
        </w:tc>
      </w:tr>
      <w:tr>
        <w:tc>
          <w:tcPr>
            <w:tcW w:type="dxa" w:w="2880"/>
          </w:tcPr>
          <w:p>
            <w:r>
              <w:t>Low</w:t>
            </w:r>
          </w:p>
        </w:tc>
        <w:tc>
          <w:tcPr>
            <w:tcW w:type="dxa" w:w="2880"/>
          </w:tcPr>
          <w:p>
            <w:r>
              <w:t>Minor deviation with limited security impact and no immediate exposure</w:t>
            </w:r>
          </w:p>
        </w:tc>
        <w:tc>
          <w:tcPr>
            <w:tcW w:type="dxa" w:w="2880"/>
          </w:tcPr>
          <w:p>
            <w:r>
              <w:t>30 calendar days</w:t>
            </w:r>
          </w:p>
        </w:tc>
      </w:tr>
    </w:tbl>
    <w:p>
      <w:pPr>
        <w:pStyle w:val="ListBullet"/>
      </w:pPr>
      <w:r>
        <w:t>If remediation cannot be completed within the required timeframe, the responsible owner shall obtain an approved exception before the remediation deadline expires.</w:t>
      </w:r>
    </w:p>
    <w:p>
      <w:pPr>
        <w:pStyle w:val="ListBullet"/>
      </w:pPr>
      <w:r>
        <w:t>Configuration drift findings shall be tracked to closure in an approved issue tracking, vulnerability management, service management, or governance platform.</w:t>
      </w:r>
    </w:p>
    <w:p>
      <w:pPr>
        <w:pStyle w:val="ListBullet"/>
      </w:pPr>
      <w:r>
        <w:t>Assets that cannot be brought into compliance with an approved secure baseline shall not be connected to production environments unless a risk-based exception has been approved.</w:t>
      </w:r>
    </w:p>
    <w:p>
      <w:pPr>
        <w:pStyle w:val="ListBullet"/>
      </w:pPr>
      <w:r>
        <w:t>Secure baseline compliance shall be verified during asset onboarding, major system changes, operating system upgrades, application upgrades, cloud service deployment, and periodic security reviews.</w:t>
      </w:r>
    </w:p>
    <w:p>
      <w:pPr>
        <w:pStyle w:val="ListBullet"/>
      </w:pPr>
      <w:r>
        <w:t>Infrastructure-as-code templates, golden images, deployment scripts, container images, and configuration packages shall be scanned or reviewed for compliance with approved secure configuration requirements before use in production.</w:t>
      </w:r>
    </w:p>
    <w:p>
      <w:pPr>
        <w:pStyle w:val="ListBullet"/>
      </w:pPr>
      <w:r>
        <w:t>Cloud environments shall use preventive or detective controls to identify insecure configurations, including excessive public exposure, weak identity controls, unencrypted storage, unrestricted administrative access, disabled logging, and misconfigured network security rules.</w:t>
      </w:r>
    </w:p>
    <w:p>
      <w:pPr>
        <w:pStyle w:val="ListBullet"/>
      </w:pPr>
      <w:r>
        <w:t>Endpoint configurations shall enforce approved security controls, including host firewall configuration, anti-malware or endpoint detection controls, encryption, screen lock, patching settings, local administrator restrictions, logging, and device management enrolment.</w:t>
      </w:r>
    </w:p>
    <w:p>
      <w:pPr>
        <w:pStyle w:val="ListBullet"/>
      </w:pPr>
      <w:r>
        <w:t>Server configurations shall enforce approved security controls, including restricted administrative access, secure authentication, logging, time synchronisation, hardened services, encryption, least functionality, and installation of approved security tooling.</w:t>
      </w:r>
    </w:p>
    <w:p>
      <w:pPr>
        <w:pStyle w:val="ListBullet"/>
      </w:pPr>
      <w:r>
        <w:t>Network device configurations shall enforce approved security controls, including secure management protocols, centralised authentication where feasible, restricted management access, encrypted administrative sessions, logging to approved destinations, banner configuration where required, and removal of insecure protocols.</w:t>
      </w:r>
    </w:p>
    <w:p>
      <w:pPr>
        <w:pStyle w:val="ListBullet"/>
      </w:pPr>
      <w:r>
        <w:t>Software configurations shall enforce approved security controls, including secure authentication, role-based access, secure session settings, logging, encryption, removal of unnecessary features, and protection of administrative functions.</w:t>
      </w:r>
    </w:p>
    <w:p>
      <w:pPr>
        <w:pStyle w:val="ListBullet"/>
      </w:pPr>
      <w:r>
        <w:t>Administrative privileges used to modify configurations shall be limited to authorised personnel based on role, business need, and least privilege.</w:t>
      </w:r>
    </w:p>
    <w:p>
      <w:pPr>
        <w:pStyle w:val="ListBullet"/>
      </w:pPr>
      <w:r>
        <w:t>Access to configuration management tools, deployment pipelines, device management platforms, and cloud administration consoles shall be protected by strong authentication and monitored for unauthorised activity.</w:t>
      </w:r>
    </w:p>
    <w:p>
      <w:pPr>
        <w:pStyle w:val="ListBullet"/>
      </w:pPr>
      <w:r>
        <w:t>Configuration backups for critical systems and network devices shall be created, protected, retained, and tested in accordance with backup and recovery requirements.</w:t>
      </w:r>
    </w:p>
    <w:p>
      <w:pPr>
        <w:pStyle w:val="ListBullet"/>
      </w:pPr>
      <w:r>
        <w:t>Configuration backups shall be protected from unauthorised access and alteration, including by applying encryption, access controls, and separation from production administrative credentials where feasible.</w:t>
      </w:r>
    </w:p>
    <w:p>
      <w:pPr>
        <w:pStyle w:val="ListBullet"/>
      </w:pPr>
      <w:r>
        <w:t>Security logging related to configuration changes shall be enabled and retained in accordance with the organisation’s logging and monitoring requirements.</w:t>
      </w:r>
    </w:p>
    <w:p>
      <w:pPr>
        <w:pStyle w:val="ListBullet"/>
      </w:pPr>
      <w:r>
        <w:t>Logs for configuration changes shall record, where technically feasible, the user or service account, asset or system affected, date and time, change performed, source location, and outcome.</w:t>
      </w:r>
    </w:p>
    <w:p>
      <w:pPr>
        <w:pStyle w:val="ListBullet"/>
      </w:pPr>
      <w:r>
        <w:t>Configuration changes indicating potential compromise, unauthorised access, policy violation, or circumvention of security tooling shall be escalated to the security team for investigation.</w:t>
      </w:r>
    </w:p>
    <w:p>
      <w:pPr>
        <w:pStyle w:val="ListBullet"/>
      </w:pPr>
      <w:r>
        <w:t>Secure configuration requirements shall be included in procurement, system design, implementation, and supplier onboarding activities where third parties provide, host, administer, or maintain enterprise assets or software.</w:t>
      </w:r>
    </w:p>
    <w:p>
      <w:pPr>
        <w:pStyle w:val="ListBullet"/>
      </w:pPr>
      <w:r>
        <w:t>Third-party managed assets and services shall meet the organisation’s secure configuration requirements or equivalent controls agreed contractually and validated through evidence.</w:t>
      </w:r>
    </w:p>
    <w:p>
      <w:pPr>
        <w:pStyle w:val="ListBullet"/>
      </w:pPr>
      <w:r>
        <w:t>Where vendor-managed or software-as-a-service configurations cannot be directly monitored using organisational tools, the system owner shall obtain sufficient evidence of secure configuration and change control from the supplier.</w:t>
      </w:r>
    </w:p>
    <w:p>
      <w:pPr>
        <w:pStyle w:val="ListBullet"/>
      </w:pPr>
      <w:r>
        <w:t>The organisation shall maintain evidence of secure configuration implementation and monitoring, including baseline documents, configuration scan results, drift reports, remediation records, change approvals, exception approvals, and review records.</w:t>
      </w:r>
    </w:p>
    <w:p>
      <w:pPr>
        <w:pStyle w:val="ListBullet"/>
      </w:pPr>
      <w:r>
        <w:t>Secure configuration baselines shall be reviewed at least annually and whenever there is a significant technology change, material threat change, major security incident, or vendor hardening update that affects the baseline.</w:t>
      </w:r>
    </w:p>
    <w:p>
      <w:pPr>
        <w:pStyle w:val="ListBullet"/>
      </w:pPr>
      <w:r>
        <w:t>Retired, unsupported, or end-of-life software and operating systems shall not be used unless an approved exception is in place and compensating controls have been implemented.</w:t>
      </w:r>
    </w:p>
    <w:p>
      <w:pPr>
        <w:pStyle w:val="ListBullet"/>
      </w:pPr>
      <w:r>
        <w:t>Assets that repeatedly drift from approved secure baselines shall be subject to management review, root cause analysis, and corrective action.</w:t>
      </w:r>
    </w:p>
    <w:p>
      <w:pPr>
        <w:pStyle w:val="ListBullet"/>
      </w:pPr>
      <w:r>
        <w:t>Users and administrators shall not disable, bypass, remove, or materially weaken approved configuration settings or security controls without prior authorisation.</w:t>
      </w:r>
    </w:p>
    <w:p>
      <w:pPr>
        <w:pStyle w:val="ListBullet"/>
      </w:pPr>
      <w:r>
        <w:t>The organisation shall use measurable compliance reporting to provide management visibility into secure configuration coverage, baseline compliance, drift trends, remediation status, exceptions, and overdue corrective actions.</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Executive Management</w:t>
            </w:r>
          </w:p>
        </w:tc>
        <w:tc>
          <w:tcPr>
            <w:tcW w:type="dxa" w:w="4320"/>
          </w:tcPr>
          <w:p>
            <w:r>
              <w:t>Approves organisational direction for secure configuration management; ensures adequate resources are available; reviews significant risk acceptances and material non-compliance.</w:t>
            </w:r>
          </w:p>
        </w:tc>
      </w:tr>
      <w:tr>
        <w:tc>
          <w:tcPr>
            <w:tcW w:type="dxa" w:w="4320"/>
          </w:tcPr>
          <w:p>
            <w:r>
              <w:t>[Chief Information Security Officer]</w:t>
            </w:r>
          </w:p>
        </w:tc>
        <w:tc>
          <w:tcPr>
            <w:tcW w:type="dxa" w:w="4320"/>
          </w:tcPr>
          <w:p>
            <w:r>
              <w:t>Owns the overall secure configuration governance approach; approves security requirements for baselines; escalates material risks; ensures alignment with organisational security objectives.</w:t>
            </w:r>
          </w:p>
        </w:tc>
      </w:tr>
      <w:tr>
        <w:tc>
          <w:tcPr>
            <w:tcW w:type="dxa" w:w="4320"/>
          </w:tcPr>
          <w:p>
            <w:r>
              <w:t>[Information Security Manager]</w:t>
            </w:r>
          </w:p>
        </w:tc>
        <w:tc>
          <w:tcPr>
            <w:tcW w:type="dxa" w:w="4320"/>
          </w:tcPr>
          <w:p>
            <w:r>
              <w:t>Maintains this policy; defines minimum secure configuration requirements; oversees monitoring, reporting, exception review, and compliance activities.</w:t>
            </w:r>
          </w:p>
        </w:tc>
      </w:tr>
      <w:tr>
        <w:tc>
          <w:tcPr>
            <w:tcW w:type="dxa" w:w="4320"/>
          </w:tcPr>
          <w:p>
            <w:r>
              <w:t>Security Operations Team</w:t>
            </w:r>
          </w:p>
        </w:tc>
        <w:tc>
          <w:tcPr>
            <w:tcW w:type="dxa" w:w="4320"/>
          </w:tcPr>
          <w:p>
            <w:r>
              <w:t>Operates configuration assessment and drift detection tools; investigates unauthorised drift; escalates suspected compromise; supports remediation validation.</w:t>
            </w:r>
          </w:p>
        </w:tc>
      </w:tr>
      <w:tr>
        <w:tc>
          <w:tcPr>
            <w:tcW w:type="dxa" w:w="4320"/>
          </w:tcPr>
          <w:p>
            <w:r>
              <w:t>IT Operations Team</w:t>
            </w:r>
          </w:p>
        </w:tc>
        <w:tc>
          <w:tcPr>
            <w:tcW w:type="dxa" w:w="4320"/>
          </w:tcPr>
          <w:p>
            <w:r>
              <w:t>Implements approved secure baselines; maintains configuration management tooling; remediates drift; preserves configuration backups; supports change management.</w:t>
            </w:r>
          </w:p>
        </w:tc>
      </w:tr>
      <w:tr>
        <w:tc>
          <w:tcPr>
            <w:tcW w:type="dxa" w:w="4320"/>
          </w:tcPr>
          <w:p>
            <w:r>
              <w:t>Cloud Operations Team</w:t>
            </w:r>
          </w:p>
        </w:tc>
        <w:tc>
          <w:tcPr>
            <w:tcW w:type="dxa" w:w="4320"/>
          </w:tcPr>
          <w:p>
            <w:r>
              <w:t>Implements secure cloud configurations; maintains cloud guardrails and policy enforcement; remediates misconfigurations; monitors cloud configuration posture.</w:t>
            </w:r>
          </w:p>
        </w:tc>
      </w:tr>
      <w:tr>
        <w:tc>
          <w:tcPr>
            <w:tcW w:type="dxa" w:w="4320"/>
          </w:tcPr>
          <w:p>
            <w:r>
              <w:t>Network Team</w:t>
            </w:r>
          </w:p>
        </w:tc>
        <w:tc>
          <w:tcPr>
            <w:tcW w:type="dxa" w:w="4320"/>
          </w:tcPr>
          <w:p>
            <w:r>
              <w:t>Maintains secure configurations for network infrastructure; restricts management access; preserves and protects network device configurations; remediates drift.</w:t>
            </w:r>
          </w:p>
        </w:tc>
      </w:tr>
      <w:tr>
        <w:tc>
          <w:tcPr>
            <w:tcW w:type="dxa" w:w="4320"/>
          </w:tcPr>
          <w:p>
            <w:r>
              <w:t>Endpoint Management Team</w:t>
            </w:r>
          </w:p>
        </w:tc>
        <w:tc>
          <w:tcPr>
            <w:tcW w:type="dxa" w:w="4320"/>
          </w:tcPr>
          <w:p>
            <w:r>
              <w:t>Deploys endpoint baselines; enforces device configuration settings; manages workstation, mobile, and endpoint software configuration compliance.</w:t>
            </w:r>
          </w:p>
        </w:tc>
      </w:tr>
      <w:tr>
        <w:tc>
          <w:tcPr>
            <w:tcW w:type="dxa" w:w="4320"/>
          </w:tcPr>
          <w:p>
            <w:r>
              <w:t>Application Owners</w:t>
            </w:r>
          </w:p>
        </w:tc>
        <w:tc>
          <w:tcPr>
            <w:tcW w:type="dxa" w:w="4320"/>
          </w:tcPr>
          <w:p>
            <w:r>
              <w:t>Ensure application configuration aligns with approved requirements; approve application-specific baseline settings; support remediation of insecure configurations.</w:t>
            </w:r>
          </w:p>
        </w:tc>
      </w:tr>
      <w:tr>
        <w:tc>
          <w:tcPr>
            <w:tcW w:type="dxa" w:w="4320"/>
          </w:tcPr>
          <w:p>
            <w:r>
              <w:t>System Owners</w:t>
            </w:r>
          </w:p>
        </w:tc>
        <w:tc>
          <w:tcPr>
            <w:tcW w:type="dxa" w:w="4320"/>
          </w:tcPr>
          <w:p>
            <w:r>
              <w:t>Ensure assets under their ownership are configured securely, monitored for drift, remediated within required timeframes, and supported by accurate records.</w:t>
            </w:r>
          </w:p>
        </w:tc>
      </w:tr>
      <w:tr>
        <w:tc>
          <w:tcPr>
            <w:tcW w:type="dxa" w:w="4320"/>
          </w:tcPr>
          <w:p>
            <w:r>
              <w:t>Change Advisory Function</w:t>
            </w:r>
          </w:p>
        </w:tc>
        <w:tc>
          <w:tcPr>
            <w:tcW w:type="dxa" w:w="4320"/>
          </w:tcPr>
          <w:p>
            <w:r>
              <w:t>Reviews and approves configuration changes in accordance with change management requirements; ensures security impacts are considered before implementation.</w:t>
            </w:r>
          </w:p>
        </w:tc>
      </w:tr>
      <w:tr>
        <w:tc>
          <w:tcPr>
            <w:tcW w:type="dxa" w:w="4320"/>
          </w:tcPr>
          <w:p>
            <w:r>
              <w:t>Procurement and Vendor Management</w:t>
            </w:r>
          </w:p>
        </w:tc>
        <w:tc>
          <w:tcPr>
            <w:tcW w:type="dxa" w:w="4320"/>
          </w:tcPr>
          <w:p>
            <w:r>
              <w:t>Ensures secure configuration expectations are included in supplier due diligence, contracts, onboarding, and service reviews.</w:t>
            </w:r>
          </w:p>
        </w:tc>
      </w:tr>
      <w:tr>
        <w:tc>
          <w:tcPr>
            <w:tcW w:type="dxa" w:w="4320"/>
          </w:tcPr>
          <w:p>
            <w:r>
              <w:t>Internal Audit or Assurance Function</w:t>
            </w:r>
          </w:p>
        </w:tc>
        <w:tc>
          <w:tcPr>
            <w:tcW w:type="dxa" w:w="4320"/>
          </w:tcPr>
          <w:p>
            <w:r>
              <w:t>Performs independent review of policy compliance, evidence quality, and control effectiveness as part of planned assurance activities.</w:t>
            </w:r>
          </w:p>
        </w:tc>
      </w:tr>
      <w:tr>
        <w:tc>
          <w:tcPr>
            <w:tcW w:type="dxa" w:w="4320"/>
          </w:tcPr>
          <w:p>
            <w:r>
              <w:t>Users and Administrators</w:t>
            </w:r>
          </w:p>
        </w:tc>
        <w:tc>
          <w:tcPr>
            <w:tcW w:type="dxa" w:w="4320"/>
          </w:tcPr>
          <w:p>
            <w:r>
              <w:t>Use systems in accordance with approved configurations; do not bypass security settings; report suspected misconfiguration or unauthorised changes.</w:t>
            </w:r>
          </w:p>
        </w:tc>
      </w:tr>
      <w:tr>
        <w:tc>
          <w:tcPr>
            <w:tcW w:type="dxa" w:w="4320"/>
          </w:tcPr>
          <w:p>
            <w:r>
              <w:t>Third-Party Service Providers</w:t>
            </w:r>
          </w:p>
        </w:tc>
        <w:tc>
          <w:tcPr>
            <w:tcW w:type="dxa" w:w="4320"/>
          </w:tcPr>
          <w:p>
            <w:r>
              <w:t>Configure and manage services in accordance with contractual security requirements; provide evidence of secure configuration and change control when requested.</w:t>
            </w:r>
          </w:p>
        </w:tc>
      </w:tr>
    </w:tbl>
    <w:p>
      <w:pPr>
        <w:pStyle w:val="Heading2"/>
      </w:pPr>
      <w:r>
        <w:t>Compliance, Monitoring &amp; Enforcement</w:t>
      </w:r>
    </w:p>
    <w:p>
      <w:r>
        <w:t>Compliance with this policy shall be monitored through a combination of automated tooling, management reporting, operational reviews, technical assessments, and assurance activities.</w:t>
      </w:r>
    </w:p>
    <w:p>
      <w:r>
        <w:t>The organisation shall maintain reporting that includes, at minimum:</w:t>
      </w:r>
    </w:p>
    <w:p>
      <w:pPr>
        <w:pStyle w:val="ListBullet"/>
      </w:pPr>
      <w:r>
        <w:t>Percentage of in-scope asset classes covered by approved secure baselines.</w:t>
      </w:r>
    </w:p>
    <w:p>
      <w:pPr>
        <w:pStyle w:val="ListBullet"/>
      </w:pPr>
      <w:r>
        <w:t>Percentage of assets assessed for baseline compliance.</w:t>
      </w:r>
    </w:p>
    <w:p>
      <w:pPr>
        <w:pStyle w:val="ListBullet"/>
      </w:pPr>
      <w:r>
        <w:t>Number and severity of configuration drift findings.</w:t>
      </w:r>
    </w:p>
    <w:p>
      <w:pPr>
        <w:pStyle w:val="ListBullet"/>
      </w:pPr>
      <w:r>
        <w:t>Number of overdue remediation actions.</w:t>
      </w:r>
    </w:p>
    <w:p>
      <w:pPr>
        <w:pStyle w:val="ListBullet"/>
      </w:pPr>
      <w:r>
        <w:t>Number of approved exceptions and upcoming exception expirations.</w:t>
      </w:r>
    </w:p>
    <w:p>
      <w:pPr>
        <w:pStyle w:val="ListBullet"/>
      </w:pPr>
      <w:r>
        <w:t>Assets or services without automated drift detection.</w:t>
      </w:r>
    </w:p>
    <w:p>
      <w:pPr>
        <w:pStyle w:val="ListBullet"/>
      </w:pPr>
      <w:r>
        <w:t>Repeated non-compliance by asset, team, supplier, or technology class.</w:t>
      </w:r>
    </w:p>
    <w:p>
      <w:pPr>
        <w:pStyle w:val="ListBullet"/>
      </w:pPr>
      <w:r>
        <w:t>Trends in secure configuration posture over time.</w:t>
      </w:r>
    </w:p>
    <w:p>
      <w:r>
        <w:t>Minimum compliance activities shall include: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Minimum Frequency</w:t>
            </w:r>
          </w:p>
        </w:tc>
        <w:tc>
          <w:tcPr>
            <w:tcW w:type="dxa" w:w="2160"/>
          </w:tcPr>
          <w:p>
            <w:r>
              <w:t>Responsible Role</w:t>
            </w:r>
          </w:p>
        </w:tc>
        <w:tc>
          <w:tcPr>
            <w:tcW w:type="dxa" w:w="2160"/>
          </w:tcPr>
          <w:p>
            <w:r>
              <w:t>Evidence</w:t>
            </w:r>
          </w:p>
        </w:tc>
      </w:tr>
      <w:tr>
        <w:tc>
          <w:tcPr>
            <w:tcW w:type="dxa" w:w="2160"/>
          </w:tcPr>
          <w:p>
            <w:r>
              <w:t>Review baseline coverage across asset classes</w:t>
            </w:r>
          </w:p>
        </w:tc>
        <w:tc>
          <w:tcPr>
            <w:tcW w:type="dxa" w:w="2160"/>
          </w:tcPr>
          <w:p>
            <w:r>
              <w:t>Quarterly</w:t>
            </w:r>
          </w:p>
        </w:tc>
        <w:tc>
          <w:tcPr>
            <w:tcW w:type="dxa" w:w="2160"/>
          </w:tcPr>
          <w:p>
            <w:r>
              <w:t>[Information Security Manager]</w:t>
            </w:r>
          </w:p>
        </w:tc>
        <w:tc>
          <w:tcPr>
            <w:tcW w:type="dxa" w:w="2160"/>
          </w:tcPr>
          <w:p>
            <w:r>
              <w:t>Baseline coverage report</w:t>
            </w:r>
          </w:p>
        </w:tc>
      </w:tr>
      <w:tr>
        <w:tc>
          <w:tcPr>
            <w:tcW w:type="dxa" w:w="2160"/>
          </w:tcPr>
          <w:p>
            <w:r>
              <w:t>Review configuration drift findings</w:t>
            </w:r>
          </w:p>
        </w:tc>
        <w:tc>
          <w:tcPr>
            <w:tcW w:type="dxa" w:w="2160"/>
          </w:tcPr>
          <w:p>
            <w:r>
              <w:t>Monthly</w:t>
            </w:r>
          </w:p>
        </w:tc>
        <w:tc>
          <w:tcPr>
            <w:tcW w:type="dxa" w:w="2160"/>
          </w:tcPr>
          <w:p>
            <w:r>
              <w:t>Security Operations Team</w:t>
            </w:r>
          </w:p>
        </w:tc>
        <w:tc>
          <w:tcPr>
            <w:tcW w:type="dxa" w:w="2160"/>
          </w:tcPr>
          <w:p>
            <w:r>
              <w:t>Drift detection report and remediation tracker</w:t>
            </w:r>
          </w:p>
        </w:tc>
      </w:tr>
      <w:tr>
        <w:tc>
          <w:tcPr>
            <w:tcW w:type="dxa" w:w="2160"/>
          </w:tcPr>
          <w:p>
            <w:r>
              <w:t>Review overdue remediation actions</w:t>
            </w:r>
          </w:p>
        </w:tc>
        <w:tc>
          <w:tcPr>
            <w:tcW w:type="dxa" w:w="2160"/>
          </w:tcPr>
          <w:p>
            <w:r>
              <w:t>Monthly</w:t>
            </w:r>
          </w:p>
        </w:tc>
        <w:tc>
          <w:tcPr>
            <w:tcW w:type="dxa" w:w="2160"/>
          </w:tcPr>
          <w:p>
            <w:r>
              <w:t>IT Operations Team and Security Operations Team</w:t>
            </w:r>
          </w:p>
        </w:tc>
        <w:tc>
          <w:tcPr>
            <w:tcW w:type="dxa" w:w="2160"/>
          </w:tcPr>
          <w:p>
            <w:r>
              <w:t>Issue tracking records</w:t>
            </w:r>
          </w:p>
        </w:tc>
      </w:tr>
      <w:tr>
        <w:tc>
          <w:tcPr>
            <w:tcW w:type="dxa" w:w="2160"/>
          </w:tcPr>
          <w:p>
            <w:r>
              <w:t>Validate secure configuration of new production assets</w:t>
            </w:r>
          </w:p>
        </w:tc>
        <w:tc>
          <w:tcPr>
            <w:tcW w:type="dxa" w:w="2160"/>
          </w:tcPr>
          <w:p>
            <w:r>
              <w:t>Before production release</w:t>
            </w:r>
          </w:p>
        </w:tc>
        <w:tc>
          <w:tcPr>
            <w:tcW w:type="dxa" w:w="2160"/>
          </w:tcPr>
          <w:p>
            <w:r>
              <w:t>System Owner</w:t>
            </w:r>
          </w:p>
        </w:tc>
        <w:tc>
          <w:tcPr>
            <w:tcW w:type="dxa" w:w="2160"/>
          </w:tcPr>
          <w:p>
            <w:r>
              <w:t>Build checklist, scan result, or configuration approval</w:t>
            </w:r>
          </w:p>
        </w:tc>
      </w:tr>
      <w:tr>
        <w:tc>
          <w:tcPr>
            <w:tcW w:type="dxa" w:w="2160"/>
          </w:tcPr>
          <w:p>
            <w:r>
              <w:t>Review exceptions and expiry dates</w:t>
            </w:r>
          </w:p>
        </w:tc>
        <w:tc>
          <w:tcPr>
            <w:tcW w:type="dxa" w:w="2160"/>
          </w:tcPr>
          <w:p>
            <w:r>
              <w:t>Monthly</w:t>
            </w:r>
          </w:p>
        </w:tc>
        <w:tc>
          <w:tcPr>
            <w:tcW w:type="dxa" w:w="2160"/>
          </w:tcPr>
          <w:p>
            <w:r>
              <w:t>[Information Security Manager]</w:t>
            </w:r>
          </w:p>
        </w:tc>
        <w:tc>
          <w:tcPr>
            <w:tcW w:type="dxa" w:w="2160"/>
          </w:tcPr>
          <w:p>
            <w:r>
              <w:t>Exception register</w:t>
            </w:r>
          </w:p>
        </w:tc>
      </w:tr>
      <w:tr>
        <w:tc>
          <w:tcPr>
            <w:tcW w:type="dxa" w:w="2160"/>
          </w:tcPr>
          <w:p>
            <w:r>
              <w:t>Review critical and internet-facing configuration compliance</w:t>
            </w:r>
          </w:p>
        </w:tc>
        <w:tc>
          <w:tcPr>
            <w:tcW w:type="dxa" w:w="2160"/>
          </w:tcPr>
          <w:p>
            <w:r>
              <w:t>Monthly</w:t>
            </w:r>
          </w:p>
        </w:tc>
        <w:tc>
          <w:tcPr>
            <w:tcW w:type="dxa" w:w="2160"/>
          </w:tcPr>
          <w:p>
            <w:r>
              <w:t>Security Operations Team</w:t>
            </w:r>
          </w:p>
        </w:tc>
        <w:tc>
          <w:tcPr>
            <w:tcW w:type="dxa" w:w="2160"/>
          </w:tcPr>
          <w:p>
            <w:r>
              <w:t>Compliance dashboard or scan report</w:t>
            </w:r>
          </w:p>
        </w:tc>
      </w:tr>
      <w:tr>
        <w:tc>
          <w:tcPr>
            <w:tcW w:type="dxa" w:w="2160"/>
          </w:tcPr>
          <w:p>
            <w:r>
              <w:t>Review third-party configuration evidence</w:t>
            </w:r>
          </w:p>
        </w:tc>
        <w:tc>
          <w:tcPr>
            <w:tcW w:type="dxa" w:w="2160"/>
          </w:tcPr>
          <w:p>
            <w:r>
              <w:t>At onboarding and annually</w:t>
            </w:r>
          </w:p>
        </w:tc>
        <w:tc>
          <w:tcPr>
            <w:tcW w:type="dxa" w:w="2160"/>
          </w:tcPr>
          <w:p>
            <w:r>
              <w:t>Vendor Management and System Owner</w:t>
            </w:r>
          </w:p>
        </w:tc>
        <w:tc>
          <w:tcPr>
            <w:tcW w:type="dxa" w:w="2160"/>
          </w:tcPr>
          <w:p>
            <w:r>
              <w:t>Supplier evidence, attestation, or service review record</w:t>
            </w:r>
          </w:p>
        </w:tc>
      </w:tr>
      <w:tr>
        <w:tc>
          <w:tcPr>
            <w:tcW w:type="dxa" w:w="2160"/>
          </w:tcPr>
          <w:p>
            <w:r>
              <w:t>Independent assurance review</w:t>
            </w:r>
          </w:p>
        </w:tc>
        <w:tc>
          <w:tcPr>
            <w:tcW w:type="dxa" w:w="2160"/>
          </w:tcPr>
          <w:p>
            <w:r>
              <w:t>Annually or as scheduled</w:t>
            </w:r>
          </w:p>
        </w:tc>
        <w:tc>
          <w:tcPr>
            <w:tcW w:type="dxa" w:w="2160"/>
          </w:tcPr>
          <w:p>
            <w:r>
              <w:t>Internal Audit or Assurance Function</w:t>
            </w:r>
          </w:p>
        </w:tc>
        <w:tc>
          <w:tcPr>
            <w:tcW w:type="dxa" w:w="2160"/>
          </w:tcPr>
          <w:p>
            <w:r>
              <w:t>Audit report or assurance working papers</w:t>
            </w:r>
          </w:p>
        </w:tc>
      </w:tr>
    </w:tbl>
    <w:p>
      <w:r>
        <w:t>Non-compliance with this policy may result in one or more of the following actions:</w:t>
      </w:r>
    </w:p>
    <w:p>
      <w:pPr>
        <w:pStyle w:val="ListBullet"/>
      </w:pPr>
      <w:r>
        <w:t>Required remediation within defined timeframes.</w:t>
      </w:r>
    </w:p>
    <w:p>
      <w:pPr>
        <w:pStyle w:val="ListBullet"/>
      </w:pPr>
      <w:r>
        <w:t>Temporary restriction or removal of network access.</w:t>
      </w:r>
    </w:p>
    <w:p>
      <w:pPr>
        <w:pStyle w:val="ListBullet"/>
      </w:pPr>
      <w:r>
        <w:t>Suspension of deployment or production release.</w:t>
      </w:r>
    </w:p>
    <w:p>
      <w:pPr>
        <w:pStyle w:val="ListBullet"/>
      </w:pPr>
      <w:r>
        <w:t>Escalation to management or risk governance forums.</w:t>
      </w:r>
    </w:p>
    <w:p>
      <w:pPr>
        <w:pStyle w:val="ListBullet"/>
      </w:pPr>
      <w:r>
        <w:t>Formal risk acceptance requirement.</w:t>
      </w:r>
    </w:p>
    <w:p>
      <w:pPr>
        <w:pStyle w:val="ListBullet"/>
      </w:pPr>
      <w:r>
        <w:t>Supplier corrective action or contractual remedies.</w:t>
      </w:r>
    </w:p>
    <w:p>
      <w:pPr>
        <w:pStyle w:val="ListBullet"/>
      </w:pPr>
      <w:r>
        <w:t>Disciplinary action in accordance with organisational policy.</w:t>
      </w:r>
    </w:p>
    <w:p>
      <w:pPr>
        <w:pStyle w:val="ListBullet"/>
      </w:pPr>
      <w:r>
        <w:t>Incident response activities where unauthorised change or compromise is suspected.</w:t>
      </w:r>
    </w:p>
    <w:p>
      <w:r>
        <w:t>The security team is authorised to require immediate remediation, disable access, isolate systems, or escalate to incident response where insecure configuration creates an imminent risk to the organisation.</w:t>
      </w:r>
    </w:p>
    <w:p>
      <w:r>
        <w:t>Evidence of compliance shall be retained in accordance with organisational record retention requirements and shall be made available for audit, assurance, and management review.</w:t>
      </w:r>
    </w:p>
    <w:p>
      <w:pPr>
        <w:pStyle w:val="Heading2"/>
      </w:pPr>
      <w:r>
        <w:t>Exceptions</w:t>
      </w:r>
    </w:p>
    <w:p>
      <w:r>
        <w:t>Exceptions to this policy shall be permitted only where there is a documented business, technical, operational, or legal reason that prevents full compliance.</w:t>
      </w:r>
    </w:p>
    <w:p>
      <w:r>
        <w:t>All exceptions shall be risk-assessed, approved, time-bound, and supported by compensating controls where appropriate. Exceptions shall not be used to avoid remediation of known insecure configurations where feasible corrective action exists.</w:t>
      </w:r>
    </w:p>
    <w:p>
      <w:r>
        <w:t>Exception requests shall include, at minimum:</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Requestor</w:t>
            </w:r>
          </w:p>
        </w:tc>
        <w:tc>
          <w:tcPr>
            <w:tcW w:type="dxa" w:w="4320"/>
          </w:tcPr>
          <w:p>
            <w:r>
              <w:t>Name and role of the person requesting the exception</w:t>
            </w:r>
          </w:p>
        </w:tc>
      </w:tr>
      <w:tr>
        <w:tc>
          <w:tcPr>
            <w:tcW w:type="dxa" w:w="4320"/>
          </w:tcPr>
          <w:p>
            <w:r>
              <w:t>Asset or Software</w:t>
            </w:r>
          </w:p>
        </w:tc>
        <w:tc>
          <w:tcPr>
            <w:tcW w:type="dxa" w:w="4320"/>
          </w:tcPr>
          <w:p>
            <w:r>
              <w:t>System, service, application, or asset group affected</w:t>
            </w:r>
          </w:p>
        </w:tc>
      </w:tr>
      <w:tr>
        <w:tc>
          <w:tcPr>
            <w:tcW w:type="dxa" w:w="4320"/>
          </w:tcPr>
          <w:p>
            <w:r>
              <w:t>Policy Requirement</w:t>
            </w:r>
          </w:p>
        </w:tc>
        <w:tc>
          <w:tcPr>
            <w:tcW w:type="dxa" w:w="4320"/>
          </w:tcPr>
          <w:p>
            <w:r>
              <w:t>Description of the requirement that cannot be met</w:t>
            </w:r>
          </w:p>
        </w:tc>
      </w:tr>
      <w:tr>
        <w:tc>
          <w:tcPr>
            <w:tcW w:type="dxa" w:w="4320"/>
          </w:tcPr>
          <w:p>
            <w:r>
              <w:t>Business Justification</w:t>
            </w:r>
          </w:p>
        </w:tc>
        <w:tc>
          <w:tcPr>
            <w:tcW w:type="dxa" w:w="4320"/>
          </w:tcPr>
          <w:p>
            <w:r>
              <w:t>Explanation of why compliance is not feasible or appropriate</w:t>
            </w:r>
          </w:p>
        </w:tc>
      </w:tr>
      <w:tr>
        <w:tc>
          <w:tcPr>
            <w:tcW w:type="dxa" w:w="4320"/>
          </w:tcPr>
          <w:p>
            <w:r>
              <w:t>Risk Assessment</w:t>
            </w:r>
          </w:p>
        </w:tc>
        <w:tc>
          <w:tcPr>
            <w:tcW w:type="dxa" w:w="4320"/>
          </w:tcPr>
          <w:p>
            <w:r>
              <w:t>Security impact, likelihood, potential business impact, and affected data or services</w:t>
            </w:r>
          </w:p>
        </w:tc>
      </w:tr>
      <w:tr>
        <w:tc>
          <w:tcPr>
            <w:tcW w:type="dxa" w:w="4320"/>
          </w:tcPr>
          <w:p>
            <w:r>
              <w:t>Compensating Controls</w:t>
            </w:r>
          </w:p>
        </w:tc>
        <w:tc>
          <w:tcPr>
            <w:tcW w:type="dxa" w:w="4320"/>
          </w:tcPr>
          <w:p>
            <w:r>
              <w:t>Measures that reduce risk while the exception is active</w:t>
            </w:r>
          </w:p>
        </w:tc>
      </w:tr>
      <w:tr>
        <w:tc>
          <w:tcPr>
            <w:tcW w:type="dxa" w:w="4320"/>
          </w:tcPr>
          <w:p>
            <w:r>
              <w:t>Remediation Plan</w:t>
            </w:r>
          </w:p>
        </w:tc>
        <w:tc>
          <w:tcPr>
            <w:tcW w:type="dxa" w:w="4320"/>
          </w:tcPr>
          <w:p>
            <w:r>
              <w:t>Actions required to achieve compliance, where applicable</w:t>
            </w:r>
          </w:p>
        </w:tc>
      </w:tr>
      <w:tr>
        <w:tc>
          <w:tcPr>
            <w:tcW w:type="dxa" w:w="4320"/>
          </w:tcPr>
          <w:p>
            <w:r>
              <w:t>Expiry Date</w:t>
            </w:r>
          </w:p>
        </w:tc>
        <w:tc>
          <w:tcPr>
            <w:tcW w:type="dxa" w:w="4320"/>
          </w:tcPr>
          <w:p>
            <w:r>
              <w:t>Date by which the exception will be reviewed or closed</w:t>
            </w:r>
          </w:p>
        </w:tc>
      </w:tr>
      <w:tr>
        <w:tc>
          <w:tcPr>
            <w:tcW w:type="dxa" w:w="4320"/>
          </w:tcPr>
          <w:p>
            <w:r>
              <w:t>Owner</w:t>
            </w:r>
          </w:p>
        </w:tc>
        <w:tc>
          <w:tcPr>
            <w:tcW w:type="dxa" w:w="4320"/>
          </w:tcPr>
          <w:p>
            <w:r>
              <w:t>Person accountable for managing the exception</w:t>
            </w:r>
          </w:p>
        </w:tc>
      </w:tr>
      <w:tr>
        <w:tc>
          <w:tcPr>
            <w:tcW w:type="dxa" w:w="4320"/>
          </w:tcPr>
          <w:p>
            <w:r>
              <w:t>Approval</w:t>
            </w:r>
          </w:p>
        </w:tc>
        <w:tc>
          <w:tcPr>
            <w:tcW w:type="dxa" w:w="4320"/>
          </w:tcPr>
          <w:p>
            <w:r>
              <w:t>Required approver based on risk level</w:t>
            </w:r>
          </w:p>
        </w:tc>
      </w:tr>
    </w:tbl>
    <w:p>
      <w:r>
        <w:t>Approval requirements shall be based on risk severity:</w:t>
      </w:r>
    </w:p>
    <w:tbl>
      <w:tblPr>
        <w:tblStyle w:val="TableGrid"/>
        <w:tblW w:type="auto" w:w="0"/>
        <w:tblLook w:firstColumn="1" w:firstRow="1" w:lastColumn="0" w:lastRow="0" w:noHBand="0" w:noVBand="1" w:val="04A0"/>
      </w:tblPr>
      <w:tblGrid>
        <w:gridCol w:w="2880"/>
        <w:gridCol w:w="2880"/>
        <w:gridCol w:w="2880"/>
      </w:tblGrid>
      <w:tr>
        <w:tc>
          <w:tcPr>
            <w:tcW w:type="dxa" w:w="2880"/>
          </w:tcPr>
          <w:p>
            <w:r>
              <w:t>Exception Risk Level</w:t>
            </w:r>
          </w:p>
        </w:tc>
        <w:tc>
          <w:tcPr>
            <w:tcW w:type="dxa" w:w="2880"/>
          </w:tcPr>
          <w:p>
            <w:r>
              <w:t>Approval Authority</w:t>
            </w:r>
          </w:p>
        </w:tc>
        <w:tc>
          <w:tcPr>
            <w:tcW w:type="dxa" w:w="2880"/>
          </w:tcPr>
          <w:p>
            <w:r>
              <w:t>Maximum Initial Duration</w:t>
            </w:r>
          </w:p>
        </w:tc>
      </w:tr>
      <w:tr>
        <w:tc>
          <w:tcPr>
            <w:tcW w:type="dxa" w:w="2880"/>
          </w:tcPr>
          <w:p>
            <w:r>
              <w:t>Low</w:t>
            </w:r>
          </w:p>
        </w:tc>
        <w:tc>
          <w:tcPr>
            <w:tcW w:type="dxa" w:w="2880"/>
          </w:tcPr>
          <w:p>
            <w:r>
              <w:t>System Owner and [Information Security Manager]</w:t>
            </w:r>
          </w:p>
        </w:tc>
        <w:tc>
          <w:tcPr>
            <w:tcW w:type="dxa" w:w="2880"/>
          </w:tcPr>
          <w:p>
            <w:r>
              <w:t>12 months</w:t>
            </w:r>
          </w:p>
        </w:tc>
      </w:tr>
      <w:tr>
        <w:tc>
          <w:tcPr>
            <w:tcW w:type="dxa" w:w="2880"/>
          </w:tcPr>
          <w:p>
            <w:r>
              <w:t>Medium</w:t>
            </w:r>
          </w:p>
        </w:tc>
        <w:tc>
          <w:tcPr>
            <w:tcW w:type="dxa" w:w="2880"/>
          </w:tcPr>
          <w:p>
            <w:r>
              <w:t>System Owner and [Chief Information Security Officer]</w:t>
            </w:r>
          </w:p>
        </w:tc>
        <w:tc>
          <w:tcPr>
            <w:tcW w:type="dxa" w:w="2880"/>
          </w:tcPr>
          <w:p>
            <w:r>
              <w:t>6 months</w:t>
            </w:r>
          </w:p>
        </w:tc>
      </w:tr>
      <w:tr>
        <w:tc>
          <w:tcPr>
            <w:tcW w:type="dxa" w:w="2880"/>
          </w:tcPr>
          <w:p>
            <w:r>
              <w:t>High</w:t>
            </w:r>
          </w:p>
        </w:tc>
        <w:tc>
          <w:tcPr>
            <w:tcW w:type="dxa" w:w="2880"/>
          </w:tcPr>
          <w:p>
            <w:r>
              <w:t>[Chief Information Security Officer] and relevant Executive Sponsor</w:t>
            </w:r>
          </w:p>
        </w:tc>
        <w:tc>
          <w:tcPr>
            <w:tcW w:type="dxa" w:w="2880"/>
          </w:tcPr>
          <w:p>
            <w:r>
              <w:t>3 months</w:t>
            </w:r>
          </w:p>
        </w:tc>
      </w:tr>
      <w:tr>
        <w:tc>
          <w:tcPr>
            <w:tcW w:type="dxa" w:w="2880"/>
          </w:tcPr>
          <w:p>
            <w:r>
              <w:t>Critical</w:t>
            </w:r>
          </w:p>
        </w:tc>
        <w:tc>
          <w:tcPr>
            <w:tcW w:type="dxa" w:w="2880"/>
          </w:tcPr>
          <w:p>
            <w:r>
              <w:t>Executive Management or designated Risk Committee</w:t>
            </w:r>
          </w:p>
        </w:tc>
        <w:tc>
          <w:tcPr>
            <w:tcW w:type="dxa" w:w="2880"/>
          </w:tcPr>
          <w:p>
            <w:r>
              <w:t>30 days</w:t>
            </w:r>
          </w:p>
        </w:tc>
      </w:tr>
    </w:tbl>
    <w:p>
      <w:r>
        <w:t>Exceptions shall be reviewed before expiry. Expired exceptions shall be treated as non-compliance unless renewed through the approved exception process.</w:t>
      </w:r>
    </w:p>
    <w:p>
      <w:r>
        <w:t>Exception renewals shall require updated risk assessment, evidence that compensating controls remain effective, and justification for why remediation has not been completed.</w:t>
      </w:r>
    </w:p>
    <w:p>
      <w:r>
        <w:t>The security team may reject or revoke an exception where risk is unacceptable, compensating controls are ineffective, the business justification is insufficient, or threat conditions materially change.</w:t>
      </w:r>
    </w:p>
    <w:p>
      <w:pPr>
        <w:pStyle w:val="Heading2"/>
      </w:pPr>
      <w:r>
        <w:t>Review &amp; Maintenance</w:t>
      </w:r>
    </w:p>
    <w:p>
      <w:r>
        <w:t>This policy shall be reviewed at least annually and updated as needed to reflect changes in organisational risk, technology, business operations, legal or contractual obligations, threat landscape, tooling, or secure configuration practices.</w:t>
      </w:r>
    </w:p>
    <w:p>
      <w:r>
        <w:t>The policy owner shall ensure that:</w:t>
      </w:r>
    </w:p>
    <w:p>
      <w:pPr>
        <w:pStyle w:val="ListBullet"/>
      </w:pPr>
      <w:r>
        <w:t>Secure configuration requirements remain practical, enforceable, and aligned with organisational risk appetite.</w:t>
      </w:r>
    </w:p>
    <w:p>
      <w:pPr>
        <w:pStyle w:val="ListBullet"/>
      </w:pPr>
      <w:r>
        <w:t>Baseline owners review and update secure configuration baselines on a defined schedule.</w:t>
      </w:r>
    </w:p>
    <w:p>
      <w:pPr>
        <w:pStyle w:val="ListBullet"/>
      </w:pPr>
      <w:r>
        <w:t>Changes to this policy are reviewed by relevant stakeholders before approval.</w:t>
      </w:r>
    </w:p>
    <w:p>
      <w:pPr>
        <w:pStyle w:val="ListBullet"/>
      </w:pPr>
      <w:r>
        <w:t>Superseded versions are retained in accordance with document retention requirements.</w:t>
      </w:r>
    </w:p>
    <w:p>
      <w:pPr>
        <w:pStyle w:val="ListBullet"/>
      </w:pPr>
      <w:r>
        <w:t>Approved changes are communicated to affected personnel and third parties where relevant.</w:t>
      </w:r>
    </w:p>
    <w:p>
      <w:pPr>
        <w:pStyle w:val="ListBullet"/>
      </w:pPr>
      <w:r>
        <w:t>Supporting standards, procedures, templates, and configuration baselines remain consistent with this policy.</w:t>
      </w:r>
    </w:p>
    <w:p>
      <w:r>
        <w:t>At minimum, the following maintenance activities shall be performed:</w:t>
      </w:r>
    </w:p>
    <w:tbl>
      <w:tblPr>
        <w:tblStyle w:val="TableGrid"/>
        <w:tblW w:type="auto" w:w="0"/>
        <w:tblLook w:firstColumn="1" w:firstRow="1" w:lastColumn="0" w:lastRow="0" w:noHBand="0" w:noVBand="1" w:val="04A0"/>
      </w:tblPr>
      <w:tblGrid>
        <w:gridCol w:w="2880"/>
        <w:gridCol w:w="2880"/>
        <w:gridCol w:w="2880"/>
      </w:tblGrid>
      <w:tr>
        <w:tc>
          <w:tcPr>
            <w:tcW w:type="dxa" w:w="2880"/>
          </w:tcPr>
          <w:p>
            <w:r>
              <w:t>Maintenance Activity</w:t>
            </w:r>
          </w:p>
        </w:tc>
        <w:tc>
          <w:tcPr>
            <w:tcW w:type="dxa" w:w="2880"/>
          </w:tcPr>
          <w:p>
            <w:r>
              <w:t>Minimum Frequency</w:t>
            </w:r>
          </w:p>
        </w:tc>
        <w:tc>
          <w:tcPr>
            <w:tcW w:type="dxa" w:w="2880"/>
          </w:tcPr>
          <w:p>
            <w:r>
              <w:t>Owner</w:t>
            </w:r>
          </w:p>
        </w:tc>
      </w:tr>
      <w:tr>
        <w:tc>
          <w:tcPr>
            <w:tcW w:type="dxa" w:w="2880"/>
          </w:tcPr>
          <w:p>
            <w:r>
              <w:t>Review this policy</w:t>
            </w:r>
          </w:p>
        </w:tc>
        <w:tc>
          <w:tcPr>
            <w:tcW w:type="dxa" w:w="2880"/>
          </w:tcPr>
          <w:p>
            <w:r>
              <w:t>Annually</w:t>
            </w:r>
          </w:p>
        </w:tc>
        <w:tc>
          <w:tcPr>
            <w:tcW w:type="dxa" w:w="2880"/>
          </w:tcPr>
          <w:p>
            <w:r>
              <w:t>[Information Security Manager]</w:t>
            </w:r>
          </w:p>
        </w:tc>
      </w:tr>
      <w:tr>
        <w:tc>
          <w:tcPr>
            <w:tcW w:type="dxa" w:w="2880"/>
          </w:tcPr>
          <w:p>
            <w:r>
              <w:t>Review secure configuration baselines</w:t>
            </w:r>
          </w:p>
        </w:tc>
        <w:tc>
          <w:tcPr>
            <w:tcW w:type="dxa" w:w="2880"/>
          </w:tcPr>
          <w:p>
            <w:r>
              <w:t>Annually or upon significant change</w:t>
            </w:r>
          </w:p>
        </w:tc>
        <w:tc>
          <w:tcPr>
            <w:tcW w:type="dxa" w:w="2880"/>
          </w:tcPr>
          <w:p>
            <w:r>
              <w:t>Baseline Owner</w:t>
            </w:r>
          </w:p>
        </w:tc>
      </w:tr>
      <w:tr>
        <w:tc>
          <w:tcPr>
            <w:tcW w:type="dxa" w:w="2880"/>
          </w:tcPr>
          <w:p>
            <w:r>
              <w:t>Review drift detection tooling coverage</w:t>
            </w:r>
          </w:p>
        </w:tc>
        <w:tc>
          <w:tcPr>
            <w:tcW w:type="dxa" w:w="2880"/>
          </w:tcPr>
          <w:p>
            <w:r>
              <w:t>Quarterly</w:t>
            </w:r>
          </w:p>
        </w:tc>
        <w:tc>
          <w:tcPr>
            <w:tcW w:type="dxa" w:w="2880"/>
          </w:tcPr>
          <w:p>
            <w:r>
              <w:t>Security Operations Team</w:t>
            </w:r>
          </w:p>
        </w:tc>
      </w:tr>
      <w:tr>
        <w:tc>
          <w:tcPr>
            <w:tcW w:type="dxa" w:w="2880"/>
          </w:tcPr>
          <w:p>
            <w:r>
              <w:t>Review automation effectiveness</w:t>
            </w:r>
          </w:p>
        </w:tc>
        <w:tc>
          <w:tcPr>
            <w:tcW w:type="dxa" w:w="2880"/>
          </w:tcPr>
          <w:p>
            <w:r>
              <w:t>Semi-annually</w:t>
            </w:r>
          </w:p>
        </w:tc>
        <w:tc>
          <w:tcPr>
            <w:tcW w:type="dxa" w:w="2880"/>
          </w:tcPr>
          <w:p>
            <w:r>
              <w:t>IT Operations Team</w:t>
            </w:r>
          </w:p>
        </w:tc>
      </w:tr>
      <w:tr>
        <w:tc>
          <w:tcPr>
            <w:tcW w:type="dxa" w:w="2880"/>
          </w:tcPr>
          <w:p>
            <w:r>
              <w:t>Review exception trends and recurring deviations</w:t>
            </w:r>
          </w:p>
        </w:tc>
        <w:tc>
          <w:tcPr>
            <w:tcW w:type="dxa" w:w="2880"/>
          </w:tcPr>
          <w:p>
            <w:r>
              <w:t>Quarterly</w:t>
            </w:r>
          </w:p>
        </w:tc>
        <w:tc>
          <w:tcPr>
            <w:tcW w:type="dxa" w:w="2880"/>
          </w:tcPr>
          <w:p>
            <w:r>
              <w:t>[Information Security Manager]</w:t>
            </w:r>
          </w:p>
        </w:tc>
      </w:tr>
      <w:tr>
        <w:tc>
          <w:tcPr>
            <w:tcW w:type="dxa" w:w="2880"/>
          </w:tcPr>
          <w:p>
            <w:r>
              <w:t>Review supplier-managed configuration evidence</w:t>
            </w:r>
          </w:p>
        </w:tc>
        <w:tc>
          <w:tcPr>
            <w:tcW w:type="dxa" w:w="2880"/>
          </w:tcPr>
          <w:p>
            <w:r>
              <w:t>Annually</w:t>
            </w:r>
          </w:p>
        </w:tc>
        <w:tc>
          <w:tcPr>
            <w:tcW w:type="dxa" w:w="2880"/>
          </w:tcPr>
          <w:p>
            <w:r>
              <w:t>Vendor Management and System Owner</w:t>
            </w:r>
          </w:p>
        </w:tc>
      </w:tr>
    </w:tbl>
    <w:p>
      <w:r>
        <w:t>Material updates to this policy shall be approved by [Policy Approval Authority] before publication. Minor administrative updates, such as formatting, role title changes, or clarification of wording that does not alter requirements, may be approved by the policy owner.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