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GDPR Applicability &amp; Establishment Determination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[GDPR-POL-001]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Policy defines how [Organisation Name] determines whether its activities are subject to GDPR requirements and how it identifies its relevant establishment, main establishment and lead supervisory authority where cross-border personal data processing occurs.</w:t>
      </w:r>
    </w:p>
    <w:p>
      <w:r>
        <w:t>The purpose of this Policy is to ensure that [Organisation Name]:</w:t>
      </w:r>
    </w:p>
    <w:p>
      <w:pPr>
        <w:pStyle w:val="ListBullet"/>
      </w:pPr>
      <w:r>
        <w:t>Correctly identifies when GDPR applies to its processing of personal data.</w:t>
      </w:r>
    </w:p>
    <w:p>
      <w:pPr>
        <w:pStyle w:val="ListBullet"/>
      </w:pPr>
      <w:r>
        <w:t>Applies consistent criteria to determine whether processing activities are within material and territorial scope.</w:t>
      </w:r>
    </w:p>
    <w:p>
      <w:pPr>
        <w:pStyle w:val="ListBullet"/>
      </w:pPr>
      <w:r>
        <w:t>Maintains an auditable basis for decisions about establishment and supervisory authority engagement.</w:t>
      </w:r>
    </w:p>
    <w:p>
      <w:pPr>
        <w:pStyle w:val="ListBullet"/>
      </w:pPr>
      <w:r>
        <w:t>Ensures that applicable GDPR obligations are recognised before new products, services, markets, vendors or processing activities are launched.</w:t>
      </w:r>
    </w:p>
    <w:p>
      <w:pPr>
        <w:pStyle w:val="ListBullet"/>
      </w:pPr>
      <w:r>
        <w:t>Supports consistent accountability across business units, legal entities and operating locations.</w:t>
      </w:r>
    </w:p>
    <w:p>
      <w:pPr>
        <w:pStyle w:val="Heading2"/>
      </w:pPr>
      <w:r>
        <w:t>Scope</w:t>
      </w:r>
    </w:p>
    <w:p>
      <w:r>
        <w:t>This Policy applies to all [Organisation Name] legal entities, business units, employees, contractors, temporary staff, consultants and third parties acting on behalf of [Organisation Name] where they are involved in the collection, use, storage, disclosure, transfer, analysis, retention or deletion of personal data.</w:t>
      </w:r>
    </w:p>
    <w:p>
      <w:r>
        <w:t>This Policy applies to all personal data processing activities where [Organisation Name]:</w:t>
      </w:r>
    </w:p>
    <w:p>
      <w:pPr>
        <w:pStyle w:val="ListBullet"/>
      </w:pPr>
      <w:r>
        <w:t>Acts as a controller, joint controller or processor.</w:t>
      </w:r>
    </w:p>
    <w:p>
      <w:pPr>
        <w:pStyle w:val="ListBullet"/>
      </w:pPr>
      <w:r>
        <w:t>Processes personal data of identified or identifiable individuals.</w:t>
      </w:r>
    </w:p>
    <w:p>
      <w:pPr>
        <w:pStyle w:val="ListBullet"/>
      </w:pPr>
      <w:r>
        <w:t>Offers goods or services to individuals located in the European Economic Area, whether or not payment is required.</w:t>
      </w:r>
    </w:p>
    <w:p>
      <w:pPr>
        <w:pStyle w:val="ListBullet"/>
      </w:pPr>
      <w:r>
        <w:t>Monitors the behaviour of individuals located in the European Economic Area, including through tracking, profiling, analytics, behavioural advertising or similar technologies.</w:t>
      </w:r>
    </w:p>
    <w:p>
      <w:pPr>
        <w:pStyle w:val="ListBullet"/>
      </w:pPr>
      <w:r>
        <w:t>Processes personal data in the context of an establishment located in the European Economic Area.</w:t>
      </w:r>
    </w:p>
    <w:p>
      <w:pPr>
        <w:pStyle w:val="ListBullet"/>
      </w:pPr>
      <w:r>
        <w:t>Operates through multiple establishments where decisions about purposes, means or significant processing operations may be made in more than one location.</w:t>
      </w:r>
    </w:p>
    <w:p>
      <w:r>
        <w:t>This Policy covers all processing environments, including corporate systems, cloud platforms, websites, mobile applications, customer relationship management systems, marketing tools, analytics platforms, human resources systems, finance systems, support tools, development environments and third-party hosted services.</w:t>
      </w:r>
    </w:p>
    <w:p>
      <w:r>
        <w:t>This Policy does not replace detailed privacy notices, data processing agreements, transfer mechanisms, records of processing, data protection impact assessments or operational procedures. Those documents shall align with the applicability and establishment determinations made under this Policy.</w:t>
      </w:r>
    </w:p>
    <w:p>
      <w:pPr>
        <w:pStyle w:val="Heading2"/>
      </w:pPr>
      <w:r>
        <w:t>Policy Statements</w:t>
      </w:r>
    </w:p>
    <w:p>
      <w:pPr>
        <w:pStyle w:val="ListBullet"/>
      </w:pPr>
      <w:r>
        <w:t>GDPR applicability determination shall be performed for all personal data processing activities.</w:t>
      </w:r>
    </w:p>
    <w:p>
      <w:r>
        <w:t>[Organisation Name] shall determine whether GDPR applies before initiating any new processing activity, entering a new market, launching a new product or service, implementing a new tracking technology, appointing a new processor, materially changing an existing processing activity or acquiring a business that processes personal data.</w:t>
      </w:r>
    </w:p>
    <w:p>
      <w:pPr>
        <w:pStyle w:val="ListBullet"/>
      </w:pPr>
      <w:r>
        <w:t>Personal data shall be interpreted broadly.</w:t>
      </w:r>
    </w:p>
    <w:p>
      <w:r>
        <w:t>[Organisation Name] shall treat information as personal data where it relates to an identified or identifiable individual, directly or indirectly, including names, contact details, identifiers, account IDs, device IDs, cookie IDs, location data, online identifiers, employee records, customer records, usage data, behavioural data, transaction history, support records, images, audio recordings and combinations of data that can reasonably identify an individual.</w:t>
      </w:r>
    </w:p>
    <w:p>
      <w:pPr>
        <w:pStyle w:val="ListBullet"/>
      </w:pPr>
      <w:r>
        <w:t>Processing shall include the full lifecycle of personal data.</w:t>
      </w:r>
    </w:p>
    <w:p>
      <w:r>
        <w:t>[Organisation Name] shall consider any operation performed on personal data to be processing, including collection, recording, organisation, structuring, storage, adaptation, retrieval, consultation, use, disclosure, dissemination, alignment, combination, restriction, erasure, destruction, analysis, profiling and transmission.</w:t>
      </w:r>
    </w:p>
    <w:p>
      <w:pPr>
        <w:pStyle w:val="ListBullet"/>
      </w:pPr>
      <w:r>
        <w:t>Processing in the context of an EEA establishment shall be treated as in scope.</w:t>
      </w:r>
    </w:p>
    <w:p>
      <w:r>
        <w:t>Where [Organisation Name] has a stable business presence in the European Economic Area and personal data processing is carried out in connection with that presence, the processing shall be treated as subject to GDPR, regardless of where the processing technology, personnel or servers are located.</w:t>
      </w:r>
    </w:p>
    <w:p>
      <w:pPr>
        <w:pStyle w:val="ListBullet"/>
      </w:pPr>
      <w:r>
        <w:t>Establishment shall be assessed based on real and effective activity.</w:t>
      </w:r>
    </w:p>
    <w:p>
      <w:r>
        <w:t>[Organisation Name] shall determine establishment based on factual indicators such as a registered entity, branch, office, local management, employees, sales operations, service delivery, customer support, marketing activity, operational decision-making, or other stable arrangements through which business activities are conducted. A purely technical infrastructure presence shall not, by itself, be treated as determinative.</w:t>
      </w:r>
    </w:p>
    <w:p>
      <w:pPr>
        <w:pStyle w:val="ListBullet"/>
      </w:pPr>
      <w:r>
        <w:t>Offering goods or services to individuals in the EEA shall bring processing into scope.</w:t>
      </w:r>
    </w:p>
    <w:p>
      <w:r>
        <w:t>[Organisation Name] shall treat processing as subject to GDPR where it intentionally offers goods or services to individuals located in the European Economic Area. Relevant indicators shall include targeted marketing, local language or currency options, EEA-specific pricing, shipping to EEA locations, EEA customer onboarding, local domain names, references to EEA customers, EEA support arrangements, or other evidence of directing services to EEA individuals.</w:t>
      </w:r>
    </w:p>
    <w:p>
      <w:pPr>
        <w:pStyle w:val="ListBullet"/>
      </w:pPr>
      <w:r>
        <w:t>Mere accessibility of a website shall not be the sole basis for scope determination.</w:t>
      </w:r>
    </w:p>
    <w:p>
      <w:r>
        <w:t>[Organisation Name] shall not treat passive website accessibility from the European Economic Area as sufficient on its own to establish GDPR applicability. The determination shall consider whether [Organisation Name] demonstrates an intention to offer goods or services to individuals in the European Economic Area.</w:t>
      </w:r>
    </w:p>
    <w:p>
      <w:pPr>
        <w:pStyle w:val="ListBullet"/>
      </w:pPr>
      <w:r>
        <w:t>Monitoring behaviour of individuals in the EEA shall bring processing into scope.</w:t>
      </w:r>
    </w:p>
    <w:p>
      <w:r>
        <w:t>[Organisation Name] shall treat processing as subject to GDPR where it monitors, tracks, profiles, predicts, scores, analyses or observes the behaviour of individuals located in the European Economic Area, including through cookies, pixels, mobile SDKs, device fingerprinting, session replay, behavioural advertising, geolocation tracking, fraud analytics, risk scoring, personalisation or automated decisioning.</w:t>
      </w:r>
    </w:p>
    <w:p>
      <w:pPr>
        <w:pStyle w:val="ListBullet"/>
      </w:pPr>
      <w:r>
        <w:t>Location of the individual shall be assessed at the time of relevant activity.</w:t>
      </w:r>
    </w:p>
    <w:p>
      <w:r>
        <w:t>For territorial scope decisions, [Organisation Name] shall assess whether the individual is located in the European Economic Area at the time goods or services are offered, behaviour is monitored, or relevant processing takes place. Citizenship or residence shall not be the sole determining factor.</w:t>
      </w:r>
    </w:p>
    <w:p>
      <w:pPr>
        <w:pStyle w:val="ListBullet"/>
      </w:pPr>
      <w:r>
        <w:t>Role as controller, joint controller or processor shall be documented.</w:t>
      </w:r>
    </w:p>
    <w:p>
      <w:r>
        <w:t>[Organisation Name] shall document whether it acts as controller, joint controller or processor for each relevant processing activity. Where [Organisation Name] determines purposes and essential means of processing, it shall be treated as a controller. Where it processes personal data on documented instructions from another organisation, it shall be treated as a processor. Where decisions are jointly determined with another party, joint controller arrangements shall be assessed and documented.</w:t>
      </w:r>
    </w:p>
    <w:p>
      <w:pPr>
        <w:pStyle w:val="ListBullet"/>
      </w:pPr>
      <w:r>
        <w:t>Cross-border processing shall be identified and recorded.</w:t>
      </w:r>
    </w:p>
    <w:p>
      <w:r>
        <w:t>[Organisation Name] shall identify processing that substantially affects or is likely to substantially affect individuals in more than one European Economic Area country, or that is carried out by establishments in more than one European Economic Area country. Such processing shall be recorded as cross-border processing for supervisory authority determination purposes.</w:t>
      </w:r>
    </w:p>
    <w:p>
      <w:pPr>
        <w:pStyle w:val="ListBullet"/>
      </w:pPr>
      <w:r>
        <w:t>Main establishment for controller activities shall be determined by decision-making authority.</w:t>
      </w:r>
    </w:p>
    <w:p>
      <w:r>
        <w:t>Where [Organisation Name] acts as a controller and has establishments in more than one European Economic Area country, the main establishment shall be the location where decisions about the purposes and essential means of processing are made and implemented, provided that location has real authority over the processing.</w:t>
      </w:r>
    </w:p>
    <w:p>
      <w:pPr>
        <w:pStyle w:val="ListBullet"/>
      </w:pPr>
      <w:r>
        <w:t>Main establishment for processor activities shall be determined separately.</w:t>
      </w:r>
    </w:p>
    <w:p>
      <w:r>
        <w:t>Where [Organisation Name] acts as a processor and has establishments in more than one European Economic Area country, the main establishment shall generally be the location of its central administration in the European Economic Area, unless another establishment has primary responsibility and authority for the relevant processing operations.</w:t>
      </w:r>
    </w:p>
    <w:p>
      <w:pPr>
        <w:pStyle w:val="ListBullet"/>
      </w:pPr>
      <w:r>
        <w:t>Main establishment shall not be assigned for convenience.</w:t>
      </w:r>
    </w:p>
    <w:p>
      <w:r>
        <w:t>[Organisation Name] shall not select a main establishment solely for administrative convenience, perceived regulatory advantage, language preference or reduced supervisory scrutiny. The determination shall reflect actual governance, authority, accountability and implementation capability.</w:t>
      </w:r>
    </w:p>
    <w:p>
      <w:pPr>
        <w:pStyle w:val="ListBullet"/>
      </w:pPr>
      <w:r>
        <w:t>Lead supervisory authority shall be identified for eligible cross-border processing.</w:t>
      </w:r>
    </w:p>
    <w:p>
      <w:r>
        <w:t>Where [Organisation Name] conducts cross-border processing and has a qualifying main establishment in the European Economic Area, [Organisation Name] shall identify the supervisory authority of the country of that main establishment as the lead supervisory authority for the relevant processing.</w:t>
      </w:r>
    </w:p>
    <w:p>
      <w:pPr>
        <w:pStyle w:val="ListBullet"/>
      </w:pPr>
      <w:r>
        <w:t>Local supervisory authorities shall still be recognised where relevant.</w:t>
      </w:r>
    </w:p>
    <w:p>
      <w:r>
        <w:t>[Organisation Name] shall recognise that supervisory authorities in other European Economic Area countries may have an interest in processing that affects individuals in their countries. The existence of a lead supervisory authority shall not remove the need to cooperate appropriately with other competent authorities when required.</w:t>
      </w:r>
    </w:p>
    <w:p>
      <w:pPr>
        <w:pStyle w:val="ListBullet"/>
      </w:pPr>
      <w:r>
        <w:t>Where no EEA establishment exists, no lead supervisory authority shall be assumed.</w:t>
      </w:r>
    </w:p>
    <w:p>
      <w:r>
        <w:t>Where [Organisation Name] is not established in the European Economic Area but GDPR applies because it offers goods or services to individuals in the European Economic Area or monitors their behaviour, [Organisation Name] shall not assume that it has a lead supervisory authority. Supervisory authority engagement shall be assessed based on the affected countries and the nature of the processing.</w:t>
      </w:r>
    </w:p>
    <w:p>
      <w:pPr>
        <w:pStyle w:val="ListBullet"/>
      </w:pPr>
      <w:r>
        <w:t>EEA representative requirements shall be assessed for non-EEA organisations.</w:t>
      </w:r>
    </w:p>
    <w:p>
      <w:r>
        <w:t>Where [Organisation Name] is not established in the European Economic Area but is subject to GDPR, [Organisation Name] shall assess whether it must appoint a representative in the European Economic Area and shall document the rationale for appointment or non-appointment.</w:t>
      </w:r>
    </w:p>
    <w:p>
      <w:pPr>
        <w:pStyle w:val="ListBullet"/>
      </w:pPr>
      <w:r>
        <w:t>Applicability and establishment determinations shall be documented.</w:t>
      </w:r>
    </w:p>
    <w:p>
      <w:r>
        <w:t>[Organisation Name] shall maintain documented evidence supporting each GDPR applicability, establishment, main establishment and lead supervisory authority determination. Documentation shall include factual analysis, decision criteria, approvers, effective date and review date.</w:t>
      </w:r>
    </w:p>
    <w:p>
      <w:pPr>
        <w:pStyle w:val="ListBullet"/>
      </w:pPr>
      <w:r>
        <w:t>Determinations shall be maintained in the privacy governance register.</w:t>
      </w:r>
    </w:p>
    <w:p>
      <w:r>
        <w:t>Applicability and establishment determinations shall be recorded in [Privacy Governance Register/System Name] and linked, where relevant, to records of processing activities, data protection impact assessments, vendor assessments, data transfer assessments, privacy notices and incident response records.</w:t>
      </w:r>
    </w:p>
    <w:p>
      <w:pPr>
        <w:pStyle w:val="ListBullet"/>
      </w:pPr>
      <w:r>
        <w:t>Material changes shall trigger reassessment.</w:t>
      </w:r>
    </w:p>
    <w:p>
      <w:r>
        <w:t>[Organisation Name] shall reassess GDPR applicability and establishment determinations when there are material changes, including new EEA markets, new legal entities, changes to corporate structure, new offices, relocation of decision-making functions, significant changes to tracking technologies, new customer segments, new service models, mergers, acquisitions, outsourcing, or changes to processing roles.</w:t>
      </w:r>
    </w:p>
    <w:p>
      <w:pPr>
        <w:pStyle w:val="ListBullet"/>
      </w:pPr>
      <w:r>
        <w:t>Business initiatives shall not proceed without required privacy review.</w:t>
      </w:r>
    </w:p>
    <w:p>
      <w:r>
        <w:t>Products, services, campaigns, systems, contracts, acquisitions or processing changes that may involve individuals in the European Economic Area shall not proceed to launch or execution until GDPR applicability has been assessed and required privacy actions have been completed or formally risk-accepted.</w:t>
      </w:r>
    </w:p>
    <w:p>
      <w:pPr>
        <w:pStyle w:val="ListBullet"/>
      </w:pPr>
      <w:r>
        <w:t>Marketing and digital tracking shall be reviewed for EEA targeting and monitoring.</w:t>
      </w:r>
    </w:p>
    <w:p>
      <w:r>
        <w:t>Marketing campaigns, websites, mobile applications and analytics tools shall be reviewed before deployment to determine whether they target or monitor individuals located in the European Economic Area. This review shall include cookies, pixels, tracking tags, advertising audiences, analytics configurations, geolocation logic and consent mechanisms.</w:t>
      </w:r>
    </w:p>
    <w:p>
      <w:pPr>
        <w:pStyle w:val="ListBullet"/>
      </w:pPr>
      <w:r>
        <w:t>Contracts shall reflect processing role and territorial scope.</w:t>
      </w:r>
    </w:p>
    <w:p>
      <w:r>
        <w:t>Contracts with customers, suppliers, processors, sub-processors, joint controllers and partners shall accurately reflect [Organisation Name]’s processing role, applicable GDPR obligations, geographic scope, processing locations, assistance obligations, audit rights, security commitments and international transfer requirements.</w:t>
      </w:r>
    </w:p>
    <w:p>
      <w:pPr>
        <w:pStyle w:val="ListBullet"/>
      </w:pPr>
      <w:r>
        <w:t>Acquisitions and corporate restructuring shall include GDPR scope assessment.</w:t>
      </w:r>
    </w:p>
    <w:p>
      <w:r>
        <w:t>Due diligence for acquisitions, divestitures, mergers, entity formation, market entry and restructuring shall include assessment of GDPR applicability, establishment, main establishment, representative requirements and supervisory authority implications.</w:t>
      </w:r>
    </w:p>
    <w:p>
      <w:pPr>
        <w:pStyle w:val="ListBullet"/>
      </w:pPr>
      <w:r>
        <w:t>Records shall be retained for auditability.</w:t>
      </w:r>
    </w:p>
    <w:p>
      <w:r>
        <w:t>[Organisation Name] shall retain applicability and establishment determinations, supporting evidence and approval records for at least [Retention Period] or longer where required for legal, regulatory, contractual or dispute-related reasons.</w:t>
      </w:r>
    </w:p>
    <w:p>
      <w:pPr>
        <w:pStyle w:val="ListBullet"/>
      </w:pPr>
      <w:r>
        <w:t>Personnel shall escalate uncertainty.</w:t>
      </w:r>
    </w:p>
    <w:p>
      <w:r>
        <w:t>Employees and contractors shall promptly escalate uncertainty about GDPR applicability, EEA targeting, behavioural monitoring, establishment, lead supervisory authority or representative requirements to the Data Protection Officer or Privacy Office before proceeding with the relevant activity.</w:t>
      </w:r>
    </w:p>
    <w:p>
      <w:pPr>
        <w:pStyle w:val="ListBullet"/>
      </w:pPr>
      <w:r>
        <w:t>Privacy by design shall include scope screening.</w:t>
      </w:r>
    </w:p>
    <w:p>
      <w:r>
        <w:t>[Organisation Name] shall embed GDPR applicability screening into project intake, procurement review, vendor onboarding, product development, marketing approvals, data governance workflows, legal review and change management processes.</w:t>
      </w:r>
    </w:p>
    <w:p>
      <w:pPr>
        <w:pStyle w:val="ListBullet"/>
      </w:pPr>
      <w:r>
        <w:t>Determinations shall be reviewed by competent privacy personnel.</w:t>
      </w:r>
    </w:p>
    <w:p>
      <w:r>
        <w:t>Applicability and establishment determinations shall be reviewed by the Data Protection Officer, Privacy Office or other qualified privacy/legal personnel before approval. High-risk, complex or disputed determinations shall be escalated to Legal Counsel and senior management.</w:t>
      </w:r>
    </w:p>
    <w:p>
      <w:pPr>
        <w:pStyle w:val="ListBullet"/>
      </w:pPr>
      <w:r>
        <w:t>Supervisory authority communications shall be controlled.</w:t>
      </w:r>
    </w:p>
    <w:p>
      <w:r>
        <w:t>Communications with supervisory authorities regarding GDPR applicability, establishment, main establishment, lead authority status, complaints, investigations or enforcement matters shall be coordinated by the Data Protection Officer and Legal Counsel. Employees shall not independently respond to supervisory authority inquiries unless authorised.</w:t>
      </w:r>
    </w:p>
    <w:p>
      <w:r>
        <w:t>The following decision factors shall be used as a minimum for GDPR applicability screening:</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Key Questions</w:t>
            </w:r>
          </w:p>
        </w:tc>
        <w:tc>
          <w:tcPr>
            <w:tcW w:type="dxa" w:w="2880"/>
          </w:tcPr>
          <w:p>
            <w:r>
              <w:t>Typical Evidence</w:t>
            </w:r>
          </w:p>
        </w:tc>
      </w:tr>
      <w:tr>
        <w:tc>
          <w:tcPr>
            <w:tcW w:type="dxa" w:w="2880"/>
          </w:tcPr>
          <w:p>
            <w:r>
              <w:t>Personal data</w:t>
            </w:r>
          </w:p>
        </w:tc>
        <w:tc>
          <w:tcPr>
            <w:tcW w:type="dxa" w:w="2880"/>
          </w:tcPr>
          <w:p>
            <w:r>
              <w:t>Does the activity involve information relating to identifiable individuals?</w:t>
            </w:r>
          </w:p>
        </w:tc>
        <w:tc>
          <w:tcPr>
            <w:tcW w:type="dxa" w:w="2880"/>
          </w:tcPr>
          <w:p>
            <w:r>
              <w:t>Data inventories, field lists, system diagrams, sample records</w:t>
            </w:r>
          </w:p>
        </w:tc>
      </w:tr>
      <w:tr>
        <w:tc>
          <w:tcPr>
            <w:tcW w:type="dxa" w:w="2880"/>
          </w:tcPr>
          <w:p>
            <w:r>
              <w:t>Processing activity</w:t>
            </w:r>
          </w:p>
        </w:tc>
        <w:tc>
          <w:tcPr>
            <w:tcW w:type="dxa" w:w="2880"/>
          </w:tcPr>
          <w:p>
            <w:r>
              <w:t>Is personal data collected, stored, used, analysed, shared, deleted or otherwise handled?</w:t>
            </w:r>
          </w:p>
        </w:tc>
        <w:tc>
          <w:tcPr>
            <w:tcW w:type="dxa" w:w="2880"/>
          </w:tcPr>
          <w:p>
            <w:r>
              <w:t>Process maps, system workflows, vendor documentation</w:t>
            </w:r>
          </w:p>
        </w:tc>
      </w:tr>
      <w:tr>
        <w:tc>
          <w:tcPr>
            <w:tcW w:type="dxa" w:w="2880"/>
          </w:tcPr>
          <w:p>
            <w:r>
              <w:t>Organisation role</w:t>
            </w:r>
          </w:p>
        </w:tc>
        <w:tc>
          <w:tcPr>
            <w:tcW w:type="dxa" w:w="2880"/>
          </w:tcPr>
          <w:p>
            <w:r>
              <w:t>Is [Organisation Name] deciding why and how data is processed, jointly deciding, or acting on instructions?</w:t>
            </w:r>
          </w:p>
        </w:tc>
        <w:tc>
          <w:tcPr>
            <w:tcW w:type="dxa" w:w="2880"/>
          </w:tcPr>
          <w:p>
            <w:r>
              <w:t>Contracts, service descriptions, governance records</w:t>
            </w:r>
          </w:p>
        </w:tc>
      </w:tr>
      <w:tr>
        <w:tc>
          <w:tcPr>
            <w:tcW w:type="dxa" w:w="2880"/>
          </w:tcPr>
          <w:p>
            <w:r>
              <w:t>EEA establishment</w:t>
            </w:r>
          </w:p>
        </w:tc>
        <w:tc>
          <w:tcPr>
            <w:tcW w:type="dxa" w:w="2880"/>
          </w:tcPr>
          <w:p>
            <w:r>
              <w:t>Is processing connected to an EEA office, branch, subsidiary, staff function or stable business presence?</w:t>
            </w:r>
          </w:p>
        </w:tc>
        <w:tc>
          <w:tcPr>
            <w:tcW w:type="dxa" w:w="2880"/>
          </w:tcPr>
          <w:p>
            <w:r>
              <w:t>Entity records, organisational charts, decision logs</w:t>
            </w:r>
          </w:p>
        </w:tc>
      </w:tr>
      <w:tr>
        <w:tc>
          <w:tcPr>
            <w:tcW w:type="dxa" w:w="2880"/>
          </w:tcPr>
          <w:p>
            <w:r>
              <w:t>Offering goods or services</w:t>
            </w:r>
          </w:p>
        </w:tc>
        <w:tc>
          <w:tcPr>
            <w:tcW w:type="dxa" w:w="2880"/>
          </w:tcPr>
          <w:p>
            <w:r>
              <w:t>Are goods or services intentionally directed to individuals in the EEA?</w:t>
            </w:r>
          </w:p>
        </w:tc>
        <w:tc>
          <w:tcPr>
            <w:tcW w:type="dxa" w:w="2880"/>
          </w:tcPr>
          <w:p>
            <w:r>
              <w:t>Website settings, pricing, shipping, marketing plans, customer data</w:t>
            </w:r>
          </w:p>
        </w:tc>
      </w:tr>
      <w:tr>
        <w:tc>
          <w:tcPr>
            <w:tcW w:type="dxa" w:w="2880"/>
          </w:tcPr>
          <w:p>
            <w:r>
              <w:t>Behaviour monitoring</w:t>
            </w:r>
          </w:p>
        </w:tc>
        <w:tc>
          <w:tcPr>
            <w:tcW w:type="dxa" w:w="2880"/>
          </w:tcPr>
          <w:p>
            <w:r>
              <w:t>Are EEA individuals tracked, profiled, analysed or observed over time?</w:t>
            </w:r>
          </w:p>
        </w:tc>
        <w:tc>
          <w:tcPr>
            <w:tcW w:type="dxa" w:w="2880"/>
          </w:tcPr>
          <w:p>
            <w:r>
              <w:t>Cookie scans, analytics settings, ad-tech configurations</w:t>
            </w:r>
          </w:p>
        </w:tc>
      </w:tr>
      <w:tr>
        <w:tc>
          <w:tcPr>
            <w:tcW w:type="dxa" w:w="2880"/>
          </w:tcPr>
          <w:p>
            <w:r>
              <w:t>Cross-border impact</w:t>
            </w:r>
          </w:p>
        </w:tc>
        <w:tc>
          <w:tcPr>
            <w:tcW w:type="dxa" w:w="2880"/>
          </w:tcPr>
          <w:p>
            <w:r>
              <w:t>Does processing involve or affect individuals in more than one EEA country?</w:t>
            </w:r>
          </w:p>
        </w:tc>
        <w:tc>
          <w:tcPr>
            <w:tcW w:type="dxa" w:w="2880"/>
          </w:tcPr>
          <w:p>
            <w:r>
              <w:t>Customer locations, user statistics, complaint data</w:t>
            </w:r>
          </w:p>
        </w:tc>
      </w:tr>
      <w:tr>
        <w:tc>
          <w:tcPr>
            <w:tcW w:type="dxa" w:w="2880"/>
          </w:tcPr>
          <w:p>
            <w:r>
              <w:t>Main establishment</w:t>
            </w:r>
          </w:p>
        </w:tc>
        <w:tc>
          <w:tcPr>
            <w:tcW w:type="dxa" w:w="2880"/>
          </w:tcPr>
          <w:p>
            <w:r>
              <w:t>Where are key decisions about the processing made and implemented?</w:t>
            </w:r>
          </w:p>
        </w:tc>
        <w:tc>
          <w:tcPr>
            <w:tcW w:type="dxa" w:w="2880"/>
          </w:tcPr>
          <w:p>
            <w:r>
              <w:t>Delegations of authority, meeting minutes, management structure</w:t>
            </w:r>
          </w:p>
        </w:tc>
      </w:tr>
      <w:tr>
        <w:tc>
          <w:tcPr>
            <w:tcW w:type="dxa" w:w="2880"/>
          </w:tcPr>
          <w:p>
            <w:r>
              <w:t>Supervisory authority</w:t>
            </w:r>
          </w:p>
        </w:tc>
        <w:tc>
          <w:tcPr>
            <w:tcW w:type="dxa" w:w="2880"/>
          </w:tcPr>
          <w:p>
            <w:r>
              <w:t>Which authority is relevant based on the main establishment or affected countries?</w:t>
            </w:r>
          </w:p>
        </w:tc>
        <w:tc>
          <w:tcPr>
            <w:tcW w:type="dxa" w:w="2880"/>
          </w:tcPr>
          <w:p>
            <w:r>
              <w:t>Legal analysis, privacy register entry, regulatory correspondence</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Provides oversight of GDPR governance and ensures adequate resources are available to support compliant processing and regulatory accountability.</w:t>
            </w:r>
          </w:p>
        </w:tc>
      </w:tr>
      <w:tr>
        <w:tc>
          <w:tcPr>
            <w:tcW w:type="dxa" w:w="4320"/>
          </w:tcPr>
          <w:p>
            <w:r>
              <w:t>Executive Management</w:t>
            </w:r>
          </w:p>
        </w:tc>
        <w:tc>
          <w:tcPr>
            <w:tcW w:type="dxa" w:w="4320"/>
          </w:tcPr>
          <w:p>
            <w:r>
              <w:t>Ensures business strategy, market expansion, digital operations and corporate structure decisions consider GDPR applicability and establishment implications.</w:t>
            </w:r>
          </w:p>
        </w:tc>
      </w:tr>
      <w:tr>
        <w:tc>
          <w:tcPr>
            <w:tcW w:type="dxa" w:w="4320"/>
          </w:tcPr>
          <w:p>
            <w:r>
              <w:t>Data Protection Officer</w:t>
            </w:r>
          </w:p>
        </w:tc>
        <w:tc>
          <w:tcPr>
            <w:tcW w:type="dxa" w:w="4320"/>
          </w:tcPr>
          <w:p>
            <w:r>
              <w:t>Owns this Policy; advises on GDPR scope, establishment and supervisory authority determinations; monitors compliance; advises on escalations; coordinates supervisory authority engagement with Legal Counsel.</w:t>
            </w:r>
          </w:p>
        </w:tc>
      </w:tr>
      <w:tr>
        <w:tc>
          <w:tcPr>
            <w:tcW w:type="dxa" w:w="4320"/>
          </w:tcPr>
          <w:p>
            <w:r>
              <w:t>Privacy Office</w:t>
            </w:r>
          </w:p>
        </w:tc>
        <w:tc>
          <w:tcPr>
            <w:tcW w:type="dxa" w:w="4320"/>
          </w:tcPr>
          <w:p>
            <w:r>
              <w:t>Performs or supports applicability assessments; maintains records in the privacy governance register; supports project reviews, vendor reviews, DPIA screening and stakeholder guidance.</w:t>
            </w:r>
          </w:p>
        </w:tc>
      </w:tr>
      <w:tr>
        <w:tc>
          <w:tcPr>
            <w:tcW w:type="dxa" w:w="4320"/>
          </w:tcPr>
          <w:p>
            <w:r>
              <w:t>Legal Counsel</w:t>
            </w:r>
          </w:p>
        </w:tc>
        <w:tc>
          <w:tcPr>
            <w:tcW w:type="dxa" w:w="4320"/>
          </w:tcPr>
          <w:p>
            <w:r>
              <w:t>Advises on legal interpretation, contracts, regulatory engagement, disputes, acquisitions, entity structure and supervisory authority matters.</w:t>
            </w:r>
          </w:p>
        </w:tc>
      </w:tr>
      <w:tr>
        <w:tc>
          <w:tcPr>
            <w:tcW w:type="dxa" w:w="4320"/>
          </w:tcPr>
          <w:p>
            <w:r>
              <w:t>Information Security</w:t>
            </w:r>
          </w:p>
        </w:tc>
        <w:tc>
          <w:tcPr>
            <w:tcW w:type="dxa" w:w="4320"/>
          </w:tcPr>
          <w:p>
            <w:r>
              <w:t>Supports assessments by identifying processing locations, technical infrastructure, access controls, logging, monitoring, data flows and third-party technology dependencies.</w:t>
            </w:r>
          </w:p>
        </w:tc>
      </w:tr>
      <w:tr>
        <w:tc>
          <w:tcPr>
            <w:tcW w:type="dxa" w:w="4320"/>
          </w:tcPr>
          <w:p>
            <w:r>
              <w:t>Procurement / Vendor Management</w:t>
            </w:r>
          </w:p>
        </w:tc>
        <w:tc>
          <w:tcPr>
            <w:tcW w:type="dxa" w:w="4320"/>
          </w:tcPr>
          <w:p>
            <w:r>
              <w:t>Ensures third-party engagements are screened for GDPR applicability, processor status, processing locations, sub-processing, transfer implications and contractual requirements.</w:t>
            </w:r>
          </w:p>
        </w:tc>
      </w:tr>
      <w:tr>
        <w:tc>
          <w:tcPr>
            <w:tcW w:type="dxa" w:w="4320"/>
          </w:tcPr>
          <w:p>
            <w:r>
              <w:t>Product Owners</w:t>
            </w:r>
          </w:p>
        </w:tc>
        <w:tc>
          <w:tcPr>
            <w:tcW w:type="dxa" w:w="4320"/>
          </w:tcPr>
          <w:p>
            <w:r>
              <w:t>Ensure new and changed products, services and features are submitted for privacy review when they may involve personal data or individuals in the European Economic Area.</w:t>
            </w:r>
          </w:p>
        </w:tc>
      </w:tr>
      <w:tr>
        <w:tc>
          <w:tcPr>
            <w:tcW w:type="dxa" w:w="4320"/>
          </w:tcPr>
          <w:p>
            <w:r>
              <w:t>Marketing and Digital Teams</w:t>
            </w:r>
          </w:p>
        </w:tc>
        <w:tc>
          <w:tcPr>
            <w:tcW w:type="dxa" w:w="4320"/>
          </w:tcPr>
          <w:p>
            <w:r>
              <w:t>Assess campaigns, websites, applications, analytics tools and advertising technologies for EEA targeting, behavioural monitoring and consent implications before deployment.</w:t>
            </w:r>
          </w:p>
        </w:tc>
      </w:tr>
      <w:tr>
        <w:tc>
          <w:tcPr>
            <w:tcW w:type="dxa" w:w="4320"/>
          </w:tcPr>
          <w:p>
            <w:r>
              <w:t>Human Resources</w:t>
            </w:r>
          </w:p>
        </w:tc>
        <w:tc>
          <w:tcPr>
            <w:tcW w:type="dxa" w:w="4320"/>
          </w:tcPr>
          <w:p>
            <w:r>
              <w:t>Identifies employee, candidate, contractor and workforce-related processing that may involve individuals in the European Economic Area and supports relevant records.</w:t>
            </w:r>
          </w:p>
        </w:tc>
      </w:tr>
      <w:tr>
        <w:tc>
          <w:tcPr>
            <w:tcW w:type="dxa" w:w="4320"/>
          </w:tcPr>
          <w:p>
            <w:r>
              <w:t>Business Unit Leaders</w:t>
            </w:r>
          </w:p>
        </w:tc>
        <w:tc>
          <w:tcPr>
            <w:tcW w:type="dxa" w:w="4320"/>
          </w:tcPr>
          <w:p>
            <w:r>
              <w:t>Ensure processing activities within their areas are identified, assessed, documented and reviewed when business operations change.</w:t>
            </w:r>
          </w:p>
        </w:tc>
      </w:tr>
      <w:tr>
        <w:tc>
          <w:tcPr>
            <w:tcW w:type="dxa" w:w="4320"/>
          </w:tcPr>
          <w:p>
            <w:r>
              <w:t>Data Owners</w:t>
            </w:r>
          </w:p>
        </w:tc>
        <w:tc>
          <w:tcPr>
            <w:tcW w:type="dxa" w:w="4320"/>
          </w:tcPr>
          <w:p>
            <w:r>
              <w:t>Maintain accurate information about data categories, individuals affected, purposes, systems, locations, disclosures and retention relevant to scope determinations.</w:t>
            </w:r>
          </w:p>
        </w:tc>
      </w:tr>
      <w:tr>
        <w:tc>
          <w:tcPr>
            <w:tcW w:type="dxa" w:w="4320"/>
          </w:tcPr>
          <w:p>
            <w:r>
              <w:t>Project Managers / Change Managers</w:t>
            </w:r>
          </w:p>
        </w:tc>
        <w:tc>
          <w:tcPr>
            <w:tcW w:type="dxa" w:w="4320"/>
          </w:tcPr>
          <w:p>
            <w:r>
              <w:t>Ensure GDPR applicability screening is included in project initiation, change approvals and release gates.</w:t>
            </w:r>
          </w:p>
        </w:tc>
      </w:tr>
      <w:tr>
        <w:tc>
          <w:tcPr>
            <w:tcW w:type="dxa" w:w="4320"/>
          </w:tcPr>
          <w:p>
            <w:r>
              <w:t>Employees and Contractors</w:t>
            </w:r>
          </w:p>
        </w:tc>
        <w:tc>
          <w:tcPr>
            <w:tcW w:type="dxa" w:w="4320"/>
          </w:tcPr>
          <w:p>
            <w:r>
              <w:t>Follow this Policy, complete required privacy training, identify potential GDPR-relevant processing and escalate questions or concerns promptly.</w:t>
            </w:r>
          </w:p>
        </w:tc>
      </w:tr>
    </w:tbl>
    <w:p>
      <w:pPr>
        <w:pStyle w:val="Heading2"/>
      </w:pPr>
      <w:r>
        <w:t>Compliance, Monitoring &amp; Enforcement</w:t>
      </w:r>
    </w:p>
    <w:p>
      <w:r>
        <w:t>Compliance with this Policy is mandatory. The Data Protection Officer, Privacy Office, Legal Counsel and relevant control owners shall monitor implementation through governance processes, periodic reviews and targeted assessments.</w:t>
      </w:r>
    </w:p>
    <w:p>
      <w:r>
        <w:t>Monitoring activities shall include, as appropriate: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Party</w:t>
            </w:r>
          </w:p>
        </w:tc>
        <w:tc>
          <w:tcPr>
            <w:tcW w:type="dxa" w:w="2160"/>
          </w:tcPr>
          <w:p>
            <w:r>
              <w:t>Evidence</w:t>
            </w:r>
          </w:p>
        </w:tc>
      </w:tr>
      <w:tr>
        <w:tc>
          <w:tcPr>
            <w:tcW w:type="dxa" w:w="2160"/>
          </w:tcPr>
          <w:p>
            <w:r>
              <w:t>Review of GDPR applicability determinations for new processing activities</w:t>
            </w:r>
          </w:p>
        </w:tc>
        <w:tc>
          <w:tcPr>
            <w:tcW w:type="dxa" w:w="2160"/>
          </w:tcPr>
          <w:p>
            <w:r>
              <w:t>Ongoing, at intake</w:t>
            </w:r>
          </w:p>
        </w:tc>
        <w:tc>
          <w:tcPr>
            <w:tcW w:type="dxa" w:w="2160"/>
          </w:tcPr>
          <w:p>
            <w:r>
              <w:t>Privacy Office</w:t>
            </w:r>
          </w:p>
        </w:tc>
        <w:tc>
          <w:tcPr>
            <w:tcW w:type="dxa" w:w="2160"/>
          </w:tcPr>
          <w:p>
            <w:r>
              <w:t>Assessment records, approvals, workflow logs</w:t>
            </w:r>
          </w:p>
        </w:tc>
      </w:tr>
      <w:tr>
        <w:tc>
          <w:tcPr>
            <w:tcW w:type="dxa" w:w="2160"/>
          </w:tcPr>
          <w:p>
            <w:r>
              <w:t>Review of establishment and lead supervisory authority determinations</w:t>
            </w:r>
          </w:p>
        </w:tc>
        <w:tc>
          <w:tcPr>
            <w:tcW w:type="dxa" w:w="2160"/>
          </w:tcPr>
          <w:p>
            <w:r>
              <w:t>At least annually and upon material change</w:t>
            </w:r>
          </w:p>
        </w:tc>
        <w:tc>
          <w:tcPr>
            <w:tcW w:type="dxa" w:w="2160"/>
          </w:tcPr>
          <w:p>
            <w:r>
              <w:t>Data Protection Officer / Legal Counsel</w:t>
            </w:r>
          </w:p>
        </w:tc>
        <w:tc>
          <w:tcPr>
            <w:tcW w:type="dxa" w:w="2160"/>
          </w:tcPr>
          <w:p>
            <w:r>
              <w:t>Determination memo, governance register entry</w:t>
            </w:r>
          </w:p>
        </w:tc>
      </w:tr>
      <w:tr>
        <w:tc>
          <w:tcPr>
            <w:tcW w:type="dxa" w:w="2160"/>
          </w:tcPr>
          <w:p>
            <w:r>
              <w:t>Review of digital properties for EEA targeting and tracking</w:t>
            </w:r>
          </w:p>
        </w:tc>
        <w:tc>
          <w:tcPr>
            <w:tcW w:type="dxa" w:w="2160"/>
          </w:tcPr>
          <w:p>
            <w:r>
              <w:t>At least annually and before major releases</w:t>
            </w:r>
          </w:p>
        </w:tc>
        <w:tc>
          <w:tcPr>
            <w:tcW w:type="dxa" w:w="2160"/>
          </w:tcPr>
          <w:p>
            <w:r>
              <w:t>Marketing / Privacy Office / Information Security</w:t>
            </w:r>
          </w:p>
        </w:tc>
        <w:tc>
          <w:tcPr>
            <w:tcW w:type="dxa" w:w="2160"/>
          </w:tcPr>
          <w:p>
            <w:r>
              <w:t>Cookie scans, analytics review, consent configuration</w:t>
            </w:r>
          </w:p>
        </w:tc>
      </w:tr>
      <w:tr>
        <w:tc>
          <w:tcPr>
            <w:tcW w:type="dxa" w:w="2160"/>
          </w:tcPr>
          <w:p>
            <w:r>
              <w:t>Vendor onboarding privacy scope review</w:t>
            </w:r>
          </w:p>
        </w:tc>
        <w:tc>
          <w:tcPr>
            <w:tcW w:type="dxa" w:w="2160"/>
          </w:tcPr>
          <w:p>
            <w:r>
              <w:t>Before contract execution</w:t>
            </w:r>
          </w:p>
        </w:tc>
        <w:tc>
          <w:tcPr>
            <w:tcW w:type="dxa" w:w="2160"/>
          </w:tcPr>
          <w:p>
            <w:r>
              <w:t>Procurement / Privacy Office</w:t>
            </w:r>
          </w:p>
        </w:tc>
        <w:tc>
          <w:tcPr>
            <w:tcW w:type="dxa" w:w="2160"/>
          </w:tcPr>
          <w:p>
            <w:r>
              <w:t>Vendor assessment, contract review record</w:t>
            </w:r>
          </w:p>
        </w:tc>
      </w:tr>
      <w:tr>
        <w:tc>
          <w:tcPr>
            <w:tcW w:type="dxa" w:w="2160"/>
          </w:tcPr>
          <w:p>
            <w:r>
              <w:t>Product and project privacy gate review</w:t>
            </w:r>
          </w:p>
        </w:tc>
        <w:tc>
          <w:tcPr>
            <w:tcW w:type="dxa" w:w="2160"/>
          </w:tcPr>
          <w:p>
            <w:r>
              <w:t>Before launch or material change</w:t>
            </w:r>
          </w:p>
        </w:tc>
        <w:tc>
          <w:tcPr>
            <w:tcW w:type="dxa" w:w="2160"/>
          </w:tcPr>
          <w:p>
            <w:r>
              <w:t>Product Owner / Privacy Office</w:t>
            </w:r>
          </w:p>
        </w:tc>
        <w:tc>
          <w:tcPr>
            <w:tcW w:type="dxa" w:w="2160"/>
          </w:tcPr>
          <w:p>
            <w:r>
              <w:t>Project checklist, approval evidence</w:t>
            </w:r>
          </w:p>
        </w:tc>
      </w:tr>
      <w:tr>
        <w:tc>
          <w:tcPr>
            <w:tcW w:type="dxa" w:w="2160"/>
          </w:tcPr>
          <w:p>
            <w:r>
              <w:t>Corporate structure and market entry review</w:t>
            </w:r>
          </w:p>
        </w:tc>
        <w:tc>
          <w:tcPr>
            <w:tcW w:type="dxa" w:w="2160"/>
          </w:tcPr>
          <w:p>
            <w:r>
              <w:t>Upon proposed change</w:t>
            </w:r>
          </w:p>
        </w:tc>
        <w:tc>
          <w:tcPr>
            <w:tcW w:type="dxa" w:w="2160"/>
          </w:tcPr>
          <w:p>
            <w:r>
              <w:t>Executive Management / Legal Counsel</w:t>
            </w:r>
          </w:p>
        </w:tc>
        <w:tc>
          <w:tcPr>
            <w:tcW w:type="dxa" w:w="2160"/>
          </w:tcPr>
          <w:p>
            <w:r>
              <w:t>Legal analysis, board or management materials</w:t>
            </w:r>
          </w:p>
        </w:tc>
      </w:tr>
      <w:tr>
        <w:tc>
          <w:tcPr>
            <w:tcW w:type="dxa" w:w="2160"/>
          </w:tcPr>
          <w:p>
            <w:r>
              <w:t>Internal audit or compliance testing</w:t>
            </w:r>
          </w:p>
        </w:tc>
        <w:tc>
          <w:tcPr>
            <w:tcW w:type="dxa" w:w="2160"/>
          </w:tcPr>
          <w:p>
            <w:r>
              <w:t>According to audit plan</w:t>
            </w:r>
          </w:p>
        </w:tc>
        <w:tc>
          <w:tcPr>
            <w:tcW w:type="dxa" w:w="2160"/>
          </w:tcPr>
          <w:p>
            <w:r>
              <w:t>Internal Audit / Compliance</w:t>
            </w:r>
          </w:p>
        </w:tc>
        <w:tc>
          <w:tcPr>
            <w:tcW w:type="dxa" w:w="2160"/>
          </w:tcPr>
          <w:p>
            <w:r>
              <w:t>Audit reports, remediation plans</w:t>
            </w:r>
          </w:p>
        </w:tc>
      </w:tr>
      <w:tr>
        <w:tc>
          <w:tcPr>
            <w:tcW w:type="dxa" w:w="2160"/>
          </w:tcPr>
          <w:p>
            <w:r>
              <w:t>Training completion monitoring</w:t>
            </w:r>
          </w:p>
        </w:tc>
        <w:tc>
          <w:tcPr>
            <w:tcW w:type="dxa" w:w="2160"/>
          </w:tcPr>
          <w:p>
            <w:r>
              <w:t>At least annually</w:t>
            </w:r>
          </w:p>
        </w:tc>
        <w:tc>
          <w:tcPr>
            <w:tcW w:type="dxa" w:w="2160"/>
          </w:tcPr>
          <w:p>
            <w:r>
              <w:t>Privacy Office / HR</w:t>
            </w:r>
          </w:p>
        </w:tc>
        <w:tc>
          <w:tcPr>
            <w:tcW w:type="dxa" w:w="2160"/>
          </w:tcPr>
          <w:p>
            <w:r>
              <w:t>Training records, completion reports</w:t>
            </w:r>
          </w:p>
        </w:tc>
      </w:tr>
    </w:tbl>
    <w:p>
      <w:r>
        <w:t>Non-compliance with this Policy may result in one or more of the following actions:</w:t>
      </w:r>
    </w:p>
    <w:p>
      <w:pPr>
        <w:pStyle w:val="ListBullet"/>
      </w:pPr>
      <w:r>
        <w:t>Required remediation before a project, campaign, vendor engagement or processing activity may proceed.</w:t>
      </w:r>
    </w:p>
    <w:p>
      <w:pPr>
        <w:pStyle w:val="ListBullet"/>
      </w:pPr>
      <w:r>
        <w:t>Suspension or disabling of processing activities, tracking tools, data transfers or vendor access.</w:t>
      </w:r>
    </w:p>
    <w:p>
      <w:pPr>
        <w:pStyle w:val="ListBullet"/>
      </w:pPr>
      <w:r>
        <w:t>Mandatory privacy review, training or management attestation.</w:t>
      </w:r>
    </w:p>
    <w:p>
      <w:pPr>
        <w:pStyle w:val="ListBullet"/>
      </w:pPr>
      <w:r>
        <w:t>Escalation to senior management, Legal Counsel, Compliance or Internal Audit.</w:t>
      </w:r>
    </w:p>
    <w:p>
      <w:pPr>
        <w:pStyle w:val="ListBullet"/>
      </w:pPr>
      <w:r>
        <w:t>Contractual remedies or termination for third parties that fail to meet applicable requirements.</w:t>
      </w:r>
    </w:p>
    <w:p>
      <w:pPr>
        <w:pStyle w:val="ListBullet"/>
      </w:pPr>
      <w:r>
        <w:t>Disciplinary action for employees, up to and including termination of employment, in accordance with [Disciplinary Policy].</w:t>
      </w:r>
    </w:p>
    <w:p>
      <w:pPr>
        <w:pStyle w:val="ListBullet"/>
      </w:pPr>
      <w:r>
        <w:t>Regulatory notification, supervisory authority engagement or other legal action where required.</w:t>
      </w:r>
    </w:p>
    <w:p>
      <w:r>
        <w:t>Control failures, unresolved disagreements, suspected misclassification of GDPR applicability or concerns about inaccurate establishment determinations shall be escalated to the Data Protection Officer and Legal Counsel without undue delay.</w:t>
      </w:r>
    </w:p>
    <w:p>
      <w:pPr>
        <w:pStyle w:val="Heading2"/>
      </w:pPr>
      <w:r>
        <w:t>Exceptions</w:t>
      </w:r>
    </w:p>
    <w:p>
      <w:r>
        <w:t>Exceptions to this Policy shall be rare and shall be permitted only where a documented business need exists, legal risk has been assessed, and compensating measures are approved.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and business unit of the individual requesting the exception</w:t>
            </w:r>
          </w:p>
        </w:tc>
      </w:tr>
      <w:tr>
        <w:tc>
          <w:tcPr>
            <w:tcW w:type="dxa" w:w="4320"/>
          </w:tcPr>
          <w:p>
            <w:r>
              <w:t>Processing activity</w:t>
            </w:r>
          </w:p>
        </w:tc>
        <w:tc>
          <w:tcPr>
            <w:tcW w:type="dxa" w:w="4320"/>
          </w:tcPr>
          <w:p>
            <w:r>
              <w:t>Description of the relevant processing, system, product, service or contract</w:t>
            </w:r>
          </w:p>
        </w:tc>
      </w:tr>
      <w:tr>
        <w:tc>
          <w:tcPr>
            <w:tcW w:type="dxa" w:w="4320"/>
          </w:tcPr>
          <w:p>
            <w:r>
              <w:t>Requested exception</w:t>
            </w:r>
          </w:p>
        </w:tc>
        <w:tc>
          <w:tcPr>
            <w:tcW w:type="dxa" w:w="4320"/>
          </w:tcPr>
          <w:p>
            <w:r>
              <w:t>Specific Policy requirement for which an exception is sought</w:t>
            </w:r>
          </w:p>
        </w:tc>
      </w:tr>
      <w:tr>
        <w:tc>
          <w:tcPr>
            <w:tcW w:type="dxa" w:w="4320"/>
          </w:tcPr>
          <w:p>
            <w:r>
              <w:t>Business justification</w:t>
            </w:r>
          </w:p>
        </w:tc>
        <w:tc>
          <w:tcPr>
            <w:tcW w:type="dxa" w:w="4320"/>
          </w:tcPr>
          <w:p>
            <w:r>
              <w:t>Reason the requirement cannot be met or must be delayed</w:t>
            </w:r>
          </w:p>
        </w:tc>
      </w:tr>
      <w:tr>
        <w:tc>
          <w:tcPr>
            <w:tcW w:type="dxa" w:w="4320"/>
          </w:tcPr>
          <w:p>
            <w:r>
              <w:t>Personal data involved</w:t>
            </w:r>
          </w:p>
        </w:tc>
        <w:tc>
          <w:tcPr>
            <w:tcW w:type="dxa" w:w="4320"/>
          </w:tcPr>
          <w:p>
            <w:r>
              <w:t>Categories of personal data and individuals affected</w:t>
            </w:r>
          </w:p>
        </w:tc>
      </w:tr>
      <w:tr>
        <w:tc>
          <w:tcPr>
            <w:tcW w:type="dxa" w:w="4320"/>
          </w:tcPr>
          <w:p>
            <w:r>
              <w:t>Geographic impact</w:t>
            </w:r>
          </w:p>
        </w:tc>
        <w:tc>
          <w:tcPr>
            <w:tcW w:type="dxa" w:w="4320"/>
          </w:tcPr>
          <w:p>
            <w:r>
              <w:t>Countries or regions affected, including any European Economic Area impact</w:t>
            </w:r>
          </w:p>
        </w:tc>
      </w:tr>
      <w:tr>
        <w:tc>
          <w:tcPr>
            <w:tcW w:type="dxa" w:w="4320"/>
          </w:tcPr>
          <w:p>
            <w:r>
              <w:t>Risk assessment</w:t>
            </w:r>
          </w:p>
        </w:tc>
        <w:tc>
          <w:tcPr>
            <w:tcW w:type="dxa" w:w="4320"/>
          </w:tcPr>
          <w:p>
            <w:r>
              <w:t>Privacy, legal, operational, reputational and security risks</w:t>
            </w:r>
          </w:p>
        </w:tc>
      </w:tr>
      <w:tr>
        <w:tc>
          <w:tcPr>
            <w:tcW w:type="dxa" w:w="4320"/>
          </w:tcPr>
          <w:p>
            <w:r>
              <w:t>Compensating controls</w:t>
            </w:r>
          </w:p>
        </w:tc>
        <w:tc>
          <w:tcPr>
            <w:tcW w:type="dxa" w:w="4320"/>
          </w:tcPr>
          <w:p>
            <w:r>
              <w:t>Measures to reduce risk during the exception period</w:t>
            </w:r>
          </w:p>
        </w:tc>
      </w:tr>
      <w:tr>
        <w:tc>
          <w:tcPr>
            <w:tcW w:type="dxa" w:w="4320"/>
          </w:tcPr>
          <w:p>
            <w:r>
              <w:t>Duration</w:t>
            </w:r>
          </w:p>
        </w:tc>
        <w:tc>
          <w:tcPr>
            <w:tcW w:type="dxa" w:w="4320"/>
          </w:tcPr>
          <w:p>
            <w:r>
              <w:t>Requested start date, end date and review date</w:t>
            </w:r>
          </w:p>
        </w:tc>
      </w:tr>
      <w:tr>
        <w:tc>
          <w:tcPr>
            <w:tcW w:type="dxa" w:w="4320"/>
          </w:tcPr>
          <w:p>
            <w:r>
              <w:t>Approvals</w:t>
            </w:r>
          </w:p>
        </w:tc>
        <w:tc>
          <w:tcPr>
            <w:tcW w:type="dxa" w:w="4320"/>
          </w:tcPr>
          <w:p>
            <w:r>
              <w:t>Required approval from Data Protection Officer, Legal Counsel and relevant business owner</w:t>
            </w:r>
          </w:p>
        </w:tc>
      </w:tr>
    </w:tbl>
    <w:p>
      <w:r>
        <w:t>Exceptions shall not be used to bypass legal obligations where GDPR applies. Where an exception could create material regulatory, contractual, individual rights or reputational risk, approval shall require escalation to [Executive Risk Committee/Privacy Governance Committee].</w:t>
      </w:r>
    </w:p>
    <w:p>
      <w:r>
        <w:t>All approved exceptions shall be recorded in [Exception Register/System Name], assigned an owner, reviewed at defined intervals and closed when the underlying issue is remediated. Expired exceptions shall not remain valid unless formally renewed before expiry.</w:t>
      </w:r>
    </w:p>
    <w:p>
      <w:pPr>
        <w:pStyle w:val="Heading2"/>
      </w:pPr>
      <w:r>
        <w:t>Review &amp; Maintenance</w:t>
      </w:r>
    </w:p>
    <w:p>
      <w:r>
        <w:t>This Policy shall be reviewed at least annually and whenever significant changes occur that may affect GDPR applicability, establishment, supervisory authority determination or organisational accountability.</w:t>
      </w:r>
    </w:p>
    <w:p>
      <w:r>
        <w:t>Trigger events for review include:</w:t>
      </w:r>
    </w:p>
    <w:p>
      <w:pPr>
        <w:pStyle w:val="ListBullet"/>
      </w:pPr>
      <w:r>
        <w:t>Entry into or withdrawal from European Economic Area markets.</w:t>
      </w:r>
    </w:p>
    <w:p>
      <w:pPr>
        <w:pStyle w:val="ListBullet"/>
      </w:pPr>
      <w:r>
        <w:t>Creation, closure or relocation of an office, branch, subsidiary or other stable business presence.</w:t>
      </w:r>
    </w:p>
    <w:p>
      <w:pPr>
        <w:pStyle w:val="ListBullet"/>
      </w:pPr>
      <w:r>
        <w:t>Material change to where decisions about personal data processing are made.</w:t>
      </w:r>
    </w:p>
    <w:p>
      <w:pPr>
        <w:pStyle w:val="ListBullet"/>
      </w:pPr>
      <w:r>
        <w:t>Launch of new products, services, websites, mobile applications, analytics tools or advertising technologies.</w:t>
      </w:r>
    </w:p>
    <w:p>
      <w:pPr>
        <w:pStyle w:val="ListBullet"/>
      </w:pPr>
      <w:r>
        <w:t>Significant increase in EEA customers, users, employees, candidates or monitored individuals.</w:t>
      </w:r>
    </w:p>
    <w:p>
      <w:pPr>
        <w:pStyle w:val="ListBullet"/>
      </w:pPr>
      <w:r>
        <w:t>Merger, acquisition, divestiture or restructuring.</w:t>
      </w:r>
    </w:p>
    <w:p>
      <w:pPr>
        <w:pStyle w:val="ListBullet"/>
      </w:pPr>
      <w:r>
        <w:t>Appointment or replacement of a representative in the European Economic Area.</w:t>
      </w:r>
    </w:p>
    <w:p>
      <w:pPr>
        <w:pStyle w:val="ListBullet"/>
      </w:pPr>
      <w:r>
        <w:t>Change in processing role from processor to controller, controller to processor or sole controller to joint controller.</w:t>
      </w:r>
    </w:p>
    <w:p>
      <w:pPr>
        <w:pStyle w:val="ListBullet"/>
      </w:pPr>
      <w:r>
        <w:t>Significant supervisory authority inquiry, complaint, investigation or enforcement action.</w:t>
      </w:r>
    </w:p>
    <w:p>
      <w:pPr>
        <w:pStyle w:val="ListBullet"/>
      </w:pPr>
      <w:r>
        <w:t>Internal audit findings, compliance testing failures or privacy incidents indicating that scope determinations may be inaccurate.</w:t>
      </w:r>
    </w:p>
    <w:p>
      <w:pPr>
        <w:pStyle w:val="ListBullet"/>
      </w:pPr>
      <w:r>
        <w:t>Material change in laws, regulatory expectations, case law or supervisory authority guidance.</w:t>
      </w:r>
    </w:p>
    <w:p>
      <w:r>
        <w:t>The Data Protection Officer is responsible for coordinating review and maintenance of this Policy. Proposed changes shall be reviewed by Legal Counsel and relevant stakeholders before approval. Updated versions shall be communicated to affected personnel and published in [Policy Repository/System Name].</w:t>
      </w:r>
    </w:p>
    <w:p>
      <w:r>
        <w:t>Version history shall be maintained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[Effective Date]</w:t>
            </w:r>
          </w:p>
        </w:tc>
        <w:tc>
          <w:tcPr>
            <w:tcW w:type="dxa" w:w="2160"/>
          </w:tcPr>
          <w:p>
            <w:r>
              <w:t>Initial release</w:t>
            </w:r>
          </w:p>
        </w:tc>
        <w:tc>
          <w:tcPr>
            <w:tcW w:type="dxa" w:w="2160"/>
          </w:tcPr>
          <w:p>
            <w:r>
              <w:t>[Approver Name/Committee]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