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 &amp; Environmental Security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[POL-PHY-001]</w:t>
            </w:r>
          </w:p>
        </w:tc>
        <w:tc>
          <w:tcPr>
            <w:tcW w:type="dxa" w:w="1234"/>
          </w:tcPr>
          <w:p>
            <w:r>
              <w:t>1.0</w:t>
            </w:r>
          </w:p>
        </w:tc>
        <w:tc>
          <w:tcPr>
            <w:tcW w:type="dxa" w:w="1234"/>
          </w:tcPr>
          <w:p>
            <w:r>
              <w:t>[Head of Facilities / CISO]</w:t>
            </w:r>
          </w:p>
        </w:tc>
        <w:tc>
          <w:tcPr>
            <w:tcW w:type="dxa" w:w="1234"/>
          </w:tcPr>
          <w:p>
            <w:r>
              <w:t>[YYYY-MM-DD]</w:t>
            </w:r>
          </w:p>
        </w:tc>
        <w:tc>
          <w:tcPr>
            <w:tcW w:type="dxa" w:w="1234"/>
          </w:tcPr>
          <w:p>
            <w:r>
              <w:t>ISO/IEC 27001:2022</w:t>
            </w:r>
          </w:p>
        </w:tc>
        <w:tc>
          <w:tcPr>
            <w:tcW w:type="dxa" w:w="1234"/>
          </w:tcPr>
          <w:p>
            <w:r>
              <w:t>Annex A.7.x Physical Controls</w:t>
            </w:r>
          </w:p>
        </w:tc>
        <w:tc>
          <w:tcPr>
            <w:tcW w:type="dxa" w:w="1234"/>
          </w:tcPr>
          <w:p>
            <w:r>
              <w:t>Internal</w:t>
            </w:r>
          </w:p>
        </w:tc>
      </w:tr>
    </w:tbl>
    <w:p>
      <w:pPr>
        <w:pStyle w:val="Heading2"/>
      </w:pPr>
      <w:r>
        <w:t>Purpose</w:t>
      </w:r>
    </w:p>
    <w:p>
      <w:r>
        <w:t>The purpose of this Physical &amp; Environmental Security Policy is to establish mandatory requirements for protecting the organisation’s people, information assets, facilities, equipment, and supporting infrastructure from unauthorised physical access, damage, theft, interference, environmental hazards, and service disruption.</w:t>
      </w:r>
    </w:p>
    <w:p>
      <w:r>
        <w:t>This Policy supports the organisation’s Information Security Management System (ISMS) and addresses ISO/IEC 27001:2022 Annex A.7 physical control requirements, including site security, secure areas, physical entry controls, equipment protection, environmental safeguards, supporting utilities, cabling security, equipment maintenance, secure disposal, and clear desk/clear screen expectations.</w:t>
      </w:r>
    </w:p>
    <w:p>
      <w:pPr>
        <w:pStyle w:val="Heading2"/>
      </w:pPr>
      <w:r>
        <w:t>Scope</w:t>
      </w:r>
    </w:p>
    <w:p>
      <w:r>
        <w:t>This Policy applies to:</w:t>
      </w:r>
    </w:p>
    <w:p>
      <w:pPr>
        <w:pStyle w:val="ListBullet"/>
      </w:pPr>
      <w:r>
        <w:t>All employees, contractors, consultants, temporary staff, third-party service providers, and visitors who access the organisation’s premises, secure areas, information processing facilities, or equipment.</w:t>
      </w:r>
    </w:p>
    <w:p>
      <w:pPr>
        <w:pStyle w:val="ListBullet"/>
      </w:pPr>
      <w:r>
        <w:t>All owned, leased, or managed physical locations, including offices, data centres, communications rooms, storage areas, loading bays, archives, and any other locations where information assets are processed, stored, transmitted, or protected.</w:t>
      </w:r>
    </w:p>
    <w:p>
      <w:pPr>
        <w:pStyle w:val="ListBullet"/>
      </w:pPr>
      <w:r>
        <w:t>All information processing equipment and supporting assets, including servers, network equipment, end-user devices, removable media, backup media, cabling, printers, access control systems, surveillance systems, power systems, environmental controls, and security monitoring equipment.</w:t>
      </w:r>
    </w:p>
    <w:p>
      <w:pPr>
        <w:pStyle w:val="ListBullet"/>
      </w:pPr>
      <w:r>
        <w:t>Off-site locations where organisational assets are used or stored, including employee homes, co-working locations, customer sites, third-party facilities, and managed service provider locations, where applicable.</w:t>
      </w:r>
    </w:p>
    <w:p>
      <w:pPr>
        <w:pStyle w:val="ListBullet"/>
      </w:pPr>
      <w:r>
        <w:t>Physical and environmental security controls required to protect information classified as Public, Internal, Confidential, Restricted, or equivalent classifications defined by the organisation’s information classification scheme.</w:t>
      </w:r>
    </w:p>
    <w:p>
      <w:r>
        <w:t>This Policy does not replace detailed operating procedures for facilities management, access badge administration, emergency response, visitor handling, equipment disposal, or data centre operations. Such procedures shall align with this Policy.</w:t>
      </w:r>
    </w:p>
    <w:p>
      <w:pPr>
        <w:pStyle w:val="Heading2"/>
      </w:pPr>
      <w:r>
        <w:t>Policy Statements</w:t>
      </w:r>
    </w:p>
    <w:p>
      <w:pPr>
        <w:pStyle w:val="ListBullet"/>
      </w:pPr>
      <w:r>
        <w:t>Physical Security Perimeters</w:t>
      </w:r>
    </w:p>
    <w:p>
      <w:r>
        <w:t>1.1. The organisation shall define, implement, and maintain physical security perimeters to protect areas where information assets, information processing facilities, or sensitive business operations are located.</w:t>
      </w:r>
    </w:p>
    <w:p>
      <w:r>
        <w:t>1.2. Physical security perimeters shall be proportionate to the criticality and classification of the assets protected and may include walls, doors, locks, reception controls, access-controlled barriers, security guards, alarms, CCTV, turnstiles, cages, safes, cabinets, and restricted rooms.</w:t>
      </w:r>
    </w:p>
    <w:p>
      <w:r>
        <w:t>1.3. Secure areas shall be clearly identified and documented, including their purpose, owner, access requirements, and the types of information assets located within them.</w:t>
      </w:r>
    </w:p>
    <w:p>
      <w:r>
        <w:t>1.4. Physical boundaries shall be structurally sound and appropriate for the risk environment, including consideration of unauthorised entry, forced entry, tailgating, theft, vandalism, fire, flood, and environmental hazards.</w:t>
      </w:r>
    </w:p>
    <w:p>
      <w:r>
        <w:t>1.5. Doors and windows providing access to secure areas shall be secured when unattended and shall be subject to additional protection where required by risk assessment.</w:t>
      </w:r>
    </w:p>
    <w:p>
      <w:pPr>
        <w:pStyle w:val="ListBullet"/>
      </w:pPr>
      <w:r>
        <w:t>Physical Entry Controls</w:t>
      </w:r>
    </w:p>
    <w:p>
      <w:r>
        <w:t>2.1. Access to offices, secure areas, communications rooms, server rooms, data centres, records archives, and other restricted facilities shall be controlled using approved physical access control mechanisms.</w:t>
      </w:r>
    </w:p>
    <w:p>
      <w:r>
        <w:t>2.2. Physical access rights shall be granted only to authorised individuals based on business need, role requirements, and approval from the relevant area owner.</w:t>
      </w:r>
    </w:p>
    <w:p>
      <w:r>
        <w:t>2.3. Physical access rights shall be reviewed periodically and upon role change, transfer, termination, or change in business need.</w:t>
      </w:r>
    </w:p>
    <w:p>
      <w:r>
        <w:t>2.4. Access credentials, including badges, keys, fobs, biometric enrolments, PINs, and visitor passes, shall be uniquely assigned where practicable and shall not be shared.</w:t>
      </w:r>
    </w:p>
    <w:p>
      <w:r>
        <w:t>2.5. Lost, stolen, damaged, or suspected compromised access credentials shall be reported immediately and disabled or replaced without undue delay.</w:t>
      </w:r>
    </w:p>
    <w:p>
      <w:r>
        <w:t>2.6. Entry to secure areas shall be logged, either electronically or manually, and logs shall be retained in accordance with legal, regulatory, and ISMS retention requirements.</w:t>
      </w:r>
    </w:p>
    <w:p>
      <w:r>
        <w:t>2.7. Visitors shall be authorised, registered, issued visible identification, escorted where required, and restricted to approved areas.</w:t>
      </w:r>
    </w:p>
    <w:p>
      <w:r>
        <w:t>2.8. Personnel shall challenge or report unknown, unbadged, or suspicious persons in secure or restricted areas, where it is safe to do so.</w:t>
      </w:r>
    </w:p>
    <w:p>
      <w:r>
        <w:t>2.9. Tailgating and piggybacking into controlled areas are prohibited.</w:t>
      </w:r>
    </w:p>
    <w:p>
      <w:pPr>
        <w:pStyle w:val="ListBullet"/>
      </w:pPr>
      <w:r>
        <w:t>Security of Offices, Rooms, and Facilities</w:t>
      </w:r>
    </w:p>
    <w:p>
      <w:r>
        <w:t>3.1. Offices, rooms, and facilities used to process or store information shall be designed and operated to reduce the risk of unauthorised access, compromise, damage, theft, or disclosure.</w:t>
      </w:r>
    </w:p>
    <w:p>
      <w:r>
        <w:t>3.2. Sensitive meetings, discussions, or processing of Confidential or Restricted information shall occur in areas appropriate to the sensitivity of the information.</w:t>
      </w:r>
    </w:p>
    <w:p>
      <w:r>
        <w:t>3.3. Publicly accessible areas, visitor areas, reception areas, meeting rooms, and delivery zones shall be segregated from secure areas where practicable.</w:t>
      </w:r>
    </w:p>
    <w:p>
      <w:r>
        <w:t>3.4. Directories, signage, room labels, floor plans, and external markings shall not disclose the location of critical infrastructure, server rooms, communications rooms, or other sensitive areas unless required for safety or operational purposes.</w:t>
      </w:r>
    </w:p>
    <w:p>
      <w:r>
        <w:t>3.5. Unattended offices, rooms, cabinets, and storage areas containing sensitive information or valuable equipment shall be locked when not in use.</w:t>
      </w:r>
    </w:p>
    <w:p>
      <w:pPr>
        <w:pStyle w:val="ListBullet"/>
      </w:pPr>
      <w:r>
        <w:t>Physical Security Monitoring</w:t>
      </w:r>
    </w:p>
    <w:p>
      <w:r>
        <w:t>4.1. The organisation shall implement physical security monitoring for areas where information assets or critical business operations require enhanced protection.</w:t>
      </w:r>
    </w:p>
    <w:p>
      <w:r>
        <w:t>4.2. Monitoring mechanisms may include CCTV, intrusion detection alarms, door forced-open alarms, access control alerts, security patrols, environmental sensors, and reception monitoring.</w:t>
      </w:r>
    </w:p>
    <w:p>
      <w:r>
        <w:t>4.3. Physical security monitoring systems shall be configured, maintained, and tested to ensure they operate effectively.</w:t>
      </w:r>
    </w:p>
    <w:p>
      <w:r>
        <w:t>4.4. Monitoring records, including access logs, alarm records, and CCTV footage, shall be protected from unauthorised access, alteration, or deletion.</w:t>
      </w:r>
    </w:p>
    <w:p>
      <w:r>
        <w:t>4.5. Monitoring activities shall comply with applicable privacy, employment, surveillance, and data protection laws.</w:t>
      </w:r>
    </w:p>
    <w:p>
      <w:r>
        <w:t>4.6. Physical security events shall be assessed, escalated, investigated, and recorded in accordance with the organisation’s incident management requirements.</w:t>
      </w:r>
    </w:p>
    <w:p>
      <w:pPr>
        <w:pStyle w:val="ListBullet"/>
      </w:pPr>
      <w:r>
        <w:t>Protection Against Physical and Environmental Threats</w:t>
      </w:r>
    </w:p>
    <w:p>
      <w:r>
        <w:t>5.1. The organisation shall identify and assess physical and environmental threats to facilities and information processing equipment, including fire, flood, water leakage, power failure, extreme temperature, humidity, dust, vibration, civil unrest, unauthorised entry, sabotage, and other relevant hazards.</w:t>
      </w:r>
    </w:p>
    <w:p>
      <w:r>
        <w:t>5.2. Appropriate safeguards shall be implemented based on risk, including fire detection and suppression, water detection, temperature and humidity control, smoke detection, surge protection, uninterruptible power supplies, backup power, physical barriers, and emergency response arrangements.</w:t>
      </w:r>
    </w:p>
    <w:p>
      <w:r>
        <w:t>5.3. Critical information processing facilities shall be protected by environmental monitoring appropriate to their criticality and operating requirements.</w:t>
      </w:r>
    </w:p>
    <w:p>
      <w:r>
        <w:t>5.4. Emergency exits, evacuation routes, fire suppression equipment, alarms, and safety systems shall be maintained and kept unobstructed.</w:t>
      </w:r>
    </w:p>
    <w:p>
      <w:r>
        <w:t>5.5. Hazardous or combustible materials shall be stored securely and away from information processing facilities unless explicitly authorised and risk assessed.</w:t>
      </w:r>
    </w:p>
    <w:p>
      <w:r>
        <w:t>5.6. Business continuity and disaster recovery planning shall consider loss or degradation of physical facilities, supporting utilities, and environmental controls.</w:t>
      </w:r>
    </w:p>
    <w:p>
      <w:pPr>
        <w:pStyle w:val="ListBullet"/>
      </w:pPr>
      <w:r>
        <w:t>Working in Secure Areas</w:t>
      </w:r>
    </w:p>
    <w:p>
      <w:r>
        <w:t>6.1. Access to secure areas shall be limited to authorised personnel and approved visitors with a documented business need.</w:t>
      </w:r>
    </w:p>
    <w:p>
      <w:r>
        <w:t>6.2. Activities in secure areas shall be subject to rules appropriate to the sensitivity and criticality of the area.</w:t>
      </w:r>
    </w:p>
    <w:p>
      <w:r>
        <w:t>6.3. Photographic, video, or audio recording within secure areas shall be prohibited unless explicitly authorised by the area owner.</w:t>
      </w:r>
    </w:p>
    <w:p>
      <w:r>
        <w:t>6.4. Personal devices, removable media, tools, and test equipment shall not be brought into secure areas unless permitted by local secure area rules.</w:t>
      </w:r>
    </w:p>
    <w:p>
      <w:r>
        <w:t>6.5. Work performed by contractors, maintenance personnel, cleaners, or other third parties in secure areas shall be supervised or controlled in accordance with the risk associated with the activity.</w:t>
      </w:r>
    </w:p>
    <w:p>
      <w:r>
        <w:t>6.6. Secure areas shall not be used for storage of unrelated materials, personal items, or unauthorised equipment.</w:t>
      </w:r>
    </w:p>
    <w:p>
      <w:pPr>
        <w:pStyle w:val="ListBullet"/>
      </w:pPr>
      <w:r>
        <w:t>Clear Desk and Clear Screen</w:t>
      </w:r>
    </w:p>
    <w:p>
      <w:r>
        <w:t>7.1. Personnel shall protect information from unauthorised viewing, access, disclosure, or removal when work areas are unattended.</w:t>
      </w:r>
    </w:p>
    <w:p>
      <w:r>
        <w:t>7.2. Documents and media containing Confidential or Restricted information shall be stored securely when not in use, including in locked drawers, cabinets, safes, secure rooms, or approved records storage.</w:t>
      </w:r>
    </w:p>
    <w:p>
      <w:r>
        <w:t>7.3. Workstations, laptops, tablets, and other devices shall be locked or logged off when left unattended.</w:t>
      </w:r>
    </w:p>
    <w:p>
      <w:r>
        <w:t>7.4. Screens displaying sensitive information shall be positioned or protected to reduce the risk of unauthorised viewing.</w:t>
      </w:r>
    </w:p>
    <w:p>
      <w:r>
        <w:t>7.5. Printed materials containing Confidential or Restricted information shall be collected promptly from printers, copiers, scanners, and fax devices.</w:t>
      </w:r>
    </w:p>
    <w:p>
      <w:r>
        <w:t>7.6. Whiteboards, flipcharts, notebooks, sticky notes, and other temporary working materials containing sensitive information shall be erased, removed, or secured after use.</w:t>
      </w:r>
    </w:p>
    <w:p>
      <w:r>
        <w:t>7.7. Authentication credentials, access codes, keys, tokens, and sensitive configuration information shall not be left visible or unsecured.</w:t>
      </w:r>
    </w:p>
    <w:p>
      <w:pPr>
        <w:pStyle w:val="ListBullet"/>
      </w:pPr>
      <w:r>
        <w:t>Equipment Siting and Protection</w:t>
      </w:r>
    </w:p>
    <w:p>
      <w:r>
        <w:t>8.1. Information processing equipment shall be sited and protected to reduce risks from unauthorised access, environmental hazards, theft, damage, interference, and operational disruption.</w:t>
      </w:r>
    </w:p>
    <w:p>
      <w:r>
        <w:t>8.2. Servers, network equipment, telecommunications equipment, backup infrastructure, and security appliances shall be located in secure areas appropriate to their criticality.</w:t>
      </w:r>
    </w:p>
    <w:p>
      <w:r>
        <w:t>8.3. Equipment shall be positioned to minimise exposure to environmental risks, including water sources, excessive heat, dust, vibration, electrical interference, and public access.</w:t>
      </w:r>
    </w:p>
    <w:p>
      <w:r>
        <w:t>8.4. Portable equipment, including laptops, tablets, mobile devices, external drives, and removable media, shall be physically secured when unattended and protected during transport.</w:t>
      </w:r>
    </w:p>
    <w:p>
      <w:r>
        <w:t>8.5. Equipment used in public or shared areas shall be configured and positioned to reduce the risk of shoulder surfing, tampering, theft, or unauthorised use.</w:t>
      </w:r>
    </w:p>
    <w:p>
      <w:r>
        <w:t>8.6. Security controls such as cable locks, locked cabinets, equipment cages, asset tags, tamper-evident seals, and secure mounting shall be used where appropriate based on risk.</w:t>
      </w:r>
    </w:p>
    <w:p>
      <w:pPr>
        <w:pStyle w:val="ListBullet"/>
      </w:pPr>
      <w:r>
        <w:t>Security of Assets Off-Premises</w:t>
      </w:r>
    </w:p>
    <w:p>
      <w:r>
        <w:t>9.1. Organisational assets used or stored off-premises shall be protected against loss, theft, unauthorised access, damage, and disclosure.</w:t>
      </w:r>
    </w:p>
    <w:p>
      <w:r>
        <w:t>9.2. Personnel shall obtain approval where required before removing equipment, records, backup media, removable media, or other information assets from organisational premises.</w:t>
      </w:r>
    </w:p>
    <w:p>
      <w:r>
        <w:t>9.3. Off-premises use of equipment shall comply with the organisation’s acceptable use, remote working, mobile device, encryption, and information handling requirements.</w:t>
      </w:r>
    </w:p>
    <w:p>
      <w:r>
        <w:t>9.4. Confidential or Restricted information shall not be left unattended in vehicles, public places, hotel rooms, co-working spaces, or other insecure locations unless secured in an approved manner.</w:t>
      </w:r>
    </w:p>
    <w:p>
      <w:r>
        <w:t>9.5. Personnel shall report lost, stolen, damaged, or compromised assets immediately in accordance with incident reporting requirements.</w:t>
      </w:r>
    </w:p>
    <w:p>
      <w:r>
        <w:t>9.6. Third-party facilities used to host, process, store, or protect organisational information assets shall be subject to appropriate due diligence, contractual security requirements, and assurance activities.</w:t>
      </w:r>
    </w:p>
    <w:p>
      <w:pPr>
        <w:pStyle w:val="ListBullet"/>
      </w:pPr>
      <w:r>
        <w:t>Storage Media Protection</w:t>
      </w:r>
    </w:p>
    <w:p>
      <w:r>
        <w:t>10.1. Storage media containing organisational information shall be protected throughout its lifecycle, including creation, use, transport, storage, transfer, reuse, and disposal.</w:t>
      </w:r>
    </w:p>
    <w:p>
      <w:r>
        <w:t>10.2. Removable media shall be authorised, encrypted where required, and controlled in accordance with the classification of information stored on it.</w:t>
      </w:r>
    </w:p>
    <w:p>
      <w:r>
        <w:t>10.3. Backup media and archival media shall be stored in secure locations with appropriate environmental safeguards and access controls.</w:t>
      </w:r>
    </w:p>
    <w:p>
      <w:r>
        <w:t>10.4. Media transported between locations shall be protected using approved packaging, custody tracking, encryption, secure courier services, or equivalent controls appropriate to the sensitivity of the information.</w:t>
      </w:r>
    </w:p>
    <w:p>
      <w:r>
        <w:t>10.5. Media containing Confidential or Restricted information shall not be reused, transferred, donated, returned to suppliers, or disposed of unless securely erased, sanitised, or destroyed using approved methods.</w:t>
      </w:r>
    </w:p>
    <w:p>
      <w:pPr>
        <w:pStyle w:val="ListBullet"/>
      </w:pPr>
      <w:r>
        <w:t>Supporting Utilities</w:t>
      </w:r>
    </w:p>
    <w:p>
      <w:r>
        <w:t>11.1. Information processing facilities shall be protected against failures or disruptions in supporting utilities, including electricity, water, heating, ventilation, air conditioning, telecommunications, internet connectivity, and fire protection systems.</w:t>
      </w:r>
    </w:p>
    <w:p>
      <w:r>
        <w:t>11.2. Critical systems shall be supported by utility resilience measures appropriate to business and risk requirements, such as uninterruptible power supplies, surge protection, backup generators, redundant network connections, and environmental controls.</w:t>
      </w:r>
    </w:p>
    <w:p>
      <w:r>
        <w:t>11.3. Supporting utilities shall be inspected, tested, and maintained in accordance with manufacturer guidance, legal requirements, and operational criticality.</w:t>
      </w:r>
    </w:p>
    <w:p>
      <w:r>
        <w:t>11.4. Utility failures affecting information security, service availability, or operational resilience shall be reported and managed as incidents.</w:t>
      </w:r>
    </w:p>
    <w:p>
      <w:r>
        <w:t>11.5. Emergency shut-off mechanisms, where present, shall be protected from unauthorised or accidental activation.</w:t>
      </w:r>
    </w:p>
    <w:p>
      <w:pPr>
        <w:pStyle w:val="ListBullet"/>
      </w:pPr>
      <w:r>
        <w:t>Cabling Security</w:t>
      </w:r>
    </w:p>
    <w:p>
      <w:r>
        <w:t>12.1. Power, network, telecommunications, and data cabling supporting information processing facilities shall be protected from interception, interference, damage, and unauthorised connection.</w:t>
      </w:r>
    </w:p>
    <w:p>
      <w:r>
        <w:t>12.2. Network and power cables carrying sensitive or critical services shall be routed through secure pathways where practicable, including conduits, trays, risers, locked cabinets, ceiling voids, or restricted areas.</w:t>
      </w:r>
    </w:p>
    <w:p>
      <w:r>
        <w:t>12.3. Network ports in public, visitor, or shared areas shall be disabled, monitored, restricted, or otherwise controlled unless explicitly authorised.</w:t>
      </w:r>
    </w:p>
    <w:p>
      <w:r>
        <w:t>12.4. Patch panels, network cabinets, telecommunications rooms, and cable termination points shall be physically secured.</w:t>
      </w:r>
    </w:p>
    <w:p>
      <w:r>
        <w:t>12.5. Cabling changes shall be authorised, documented, and performed by approved personnel or service providers.</w:t>
      </w:r>
    </w:p>
    <w:p>
      <w:r>
        <w:t>12.6. Redundant or unused cabling shall be removed, disabled, or appropriately labelled and controlled to reduce security and operational risks.</w:t>
      </w:r>
    </w:p>
    <w:p>
      <w:pPr>
        <w:pStyle w:val="ListBullet"/>
      </w:pPr>
      <w:r>
        <w:t>Equipment Maintenance</w:t>
      </w:r>
    </w:p>
    <w:p>
      <w:r>
        <w:t>13.1. Information processing equipment and supporting environmental controls shall be maintained to ensure availability, integrity, safety, and continued security.</w:t>
      </w:r>
    </w:p>
    <w:p>
      <w:r>
        <w:t>13.2. Maintenance shall be performed in accordance with manufacturer recommendations, support agreements, regulatory obligations, and internal maintenance schedules.</w:t>
      </w:r>
    </w:p>
    <w:p>
      <w:r>
        <w:t>13.3. Maintenance personnel shall be authorised and, where necessary, supervised when accessing secure areas or sensitive equipment.</w:t>
      </w:r>
    </w:p>
    <w:p>
      <w:r>
        <w:t>13.4. Maintenance activities shall be logged, including date, equipment, activity performed, personnel or supplier involved, and any security-relevant observations.</w:t>
      </w:r>
    </w:p>
    <w:p>
      <w:r>
        <w:t>13.5. Equipment sent off-site for maintenance shall be approved, tracked, and assessed for information security risk prior to release.</w:t>
      </w:r>
    </w:p>
    <w:p>
      <w:r>
        <w:t>13.6. Storage media shall be removed, encrypted, sanitised, or otherwise protected before equipment leaves organisational control for repair, replacement, return, or disposal.</w:t>
      </w:r>
    </w:p>
    <w:p>
      <w:r>
        <w:t>13.7. Maintenance ports, diagnostic interfaces, vendor accounts, and remote maintenance capabilities shall be controlled to prevent unauthorised access.</w:t>
      </w:r>
    </w:p>
    <w:p>
      <w:pPr>
        <w:pStyle w:val="ListBullet"/>
      </w:pPr>
      <w:r>
        <w:t>Secure Disposal or Reuse of Equipment</w:t>
      </w:r>
    </w:p>
    <w:p>
      <w:r>
        <w:t>14.1. Equipment, media, and materials containing organisational information shall be securely disposed of or prepared for reuse using approved methods appropriate to the classification and sensitivity of the information.</w:t>
      </w:r>
    </w:p>
    <w:p>
      <w:r>
        <w:t>14.2. Prior to disposal, reassignment, return to supplier, resale, donation, recycling, or redeployment, equipment shall be inspected to identify whether it contains storage media or sensitive configuration data.</w:t>
      </w:r>
    </w:p>
    <w:p>
      <w:r>
        <w:t>14.3. Storage media shall be securely erased, cryptographically erased, degaussed, physically destroyed, or otherwise sanitised using approved methods before reuse or disposal.</w:t>
      </w:r>
    </w:p>
    <w:p>
      <w:r>
        <w:t>14.4. Disposal of equipment or media containing Confidential or Restricted information shall be recorded and, where performed by a third party, supported by certificates of destruction or equivalent evidence.</w:t>
      </w:r>
    </w:p>
    <w:p>
      <w:r>
        <w:t>14.5. Disposal vendors shall be approved and subject to appropriate contractual confidentiality, security, chain-of-custody, and destruction requirements.</w:t>
      </w:r>
    </w:p>
    <w:p>
      <w:pPr>
        <w:pStyle w:val="ListBullet"/>
      </w:pPr>
      <w:r>
        <w:t>Delivery and Loading Areas</w:t>
      </w:r>
    </w:p>
    <w:p>
      <w:r>
        <w:t>15.1. Delivery, loading, mailroom, goods-in, and dispatch areas shall be controlled to prevent unauthorised access to secure areas and information processing facilities.</w:t>
      </w:r>
    </w:p>
    <w:p>
      <w:r>
        <w:t>15.2. Delivery personnel and couriers shall be restricted to designated areas unless authorised and escorted.</w:t>
      </w:r>
    </w:p>
    <w:p>
      <w:r>
        <w:t>15.3. Incoming deliveries shall be inspected, logged, and handled according to the sensitivity and criticality of the goods received.</w:t>
      </w:r>
    </w:p>
    <w:p>
      <w:r>
        <w:t>15.4. Outgoing shipments containing information assets, equipment, or media shall be authorised, packaged securely, labelled appropriately, and tracked where required.</w:t>
      </w:r>
    </w:p>
    <w:p>
      <w:r>
        <w:t>15.5. Delivery and loading areas shall be physically segregated from secure areas where practicable.</w:t>
      </w:r>
    </w:p>
    <w:p>
      <w:pPr>
        <w:pStyle w:val="ListBullet"/>
      </w:pPr>
      <w:r>
        <w:t>Physical Asset Inventory and Labelling</w:t>
      </w:r>
    </w:p>
    <w:p>
      <w:r>
        <w:t>16.1. Physical information assets shall be recorded in an asset inventory appropriate to their value, classification, ownership, and risk.</w:t>
      </w:r>
    </w:p>
    <w:p>
      <w:r>
        <w:t>16.2. Asset records shall include sufficient information to support accountability, physical location, ownership, lifecycle management, and recovery following loss or incident.</w:t>
      </w:r>
    </w:p>
    <w:p>
      <w:r>
        <w:t>16.3. Asset labels shall not disclose sensitive system purpose, security classification, network role, or other information that could increase security risk unless operationally required.</w:t>
      </w:r>
    </w:p>
    <w:p>
      <w:r>
        <w:t>16.4. Movement, reassignment, storage, retirement, or disposal of significant information assets shall be recorded.</w:t>
      </w:r>
    </w:p>
    <w:p>
      <w:pPr>
        <w:pStyle w:val="ListBullet"/>
      </w:pPr>
      <w:r>
        <w:t>Minimum Physical Security Requirements by Area Type</w:t>
      </w:r>
    </w:p>
    <w:p>
      <w:r>
        <w:t>The following minimum requirements shall apply unless a documented risk assessment approves stronger or alternative controls: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 Type</w:t>
            </w:r>
          </w:p>
        </w:tc>
        <w:tc>
          <w:tcPr>
            <w:tcW w:type="dxa" w:w="1728"/>
          </w:tcPr>
          <w:p>
            <w:r>
              <w:t>Examples</w:t>
            </w:r>
          </w:p>
        </w:tc>
        <w:tc>
          <w:tcPr>
            <w:tcW w:type="dxa" w:w="1728"/>
          </w:tcPr>
          <w:p>
            <w:r>
              <w:t>Minimum Physical Security Requirements</w:t>
            </w:r>
          </w:p>
        </w:tc>
        <w:tc>
          <w:tcPr>
            <w:tcW w:type="dxa" w:w="1728"/>
          </w:tcPr>
          <w:p>
            <w:r>
              <w:t>Access Logging</w:t>
            </w:r>
          </w:p>
        </w:tc>
        <w:tc>
          <w:tcPr>
            <w:tcW w:type="dxa" w:w="1728"/>
          </w:tcPr>
          <w:p>
            <w:r>
              <w:t>Monitoring Expectations</w:t>
            </w:r>
          </w:p>
        </w:tc>
      </w:tr>
      <w:tr>
        <w:tc>
          <w:tcPr>
            <w:tcW w:type="dxa" w:w="1728"/>
          </w:tcPr>
          <w:p>
            <w:r>
              <w:t>Public Area</w:t>
            </w:r>
          </w:p>
        </w:tc>
        <w:tc>
          <w:tcPr>
            <w:tcW w:type="dxa" w:w="1728"/>
          </w:tcPr>
          <w:p>
            <w:r>
              <w:t>Reception, public lobby, customer waiting area</w:t>
            </w:r>
          </w:p>
        </w:tc>
        <w:tc>
          <w:tcPr>
            <w:tcW w:type="dxa" w:w="1728"/>
          </w:tcPr>
          <w:p>
            <w:r>
              <w:t>Segregated from work and secure areas; visitor management; no unattended sensitive information</w:t>
            </w:r>
          </w:p>
        </w:tc>
        <w:tc>
          <w:tcPr>
            <w:tcW w:type="dxa" w:w="1728"/>
          </w:tcPr>
          <w:p>
            <w:r>
              <w:t>Visitor register where applicable</w:t>
            </w:r>
          </w:p>
        </w:tc>
        <w:tc>
          <w:tcPr>
            <w:tcW w:type="dxa" w:w="1728"/>
          </w:tcPr>
          <w:p>
            <w:r>
              <w:t>Reception oversight or equivalent</w:t>
            </w:r>
          </w:p>
        </w:tc>
      </w:tr>
      <w:tr>
        <w:tc>
          <w:tcPr>
            <w:tcW w:type="dxa" w:w="1728"/>
          </w:tcPr>
          <w:p>
            <w:r>
              <w:t>General Office Area</w:t>
            </w:r>
          </w:p>
        </w:tc>
        <w:tc>
          <w:tcPr>
            <w:tcW w:type="dxa" w:w="1728"/>
          </w:tcPr>
          <w:p>
            <w:r>
              <w:t>Employee workspaces, standard meeting rooms</w:t>
            </w:r>
          </w:p>
        </w:tc>
        <w:tc>
          <w:tcPr>
            <w:tcW w:type="dxa" w:w="1728"/>
          </w:tcPr>
          <w:p>
            <w:r>
              <w:t>Controlled building access; clear desk/screen; secure storage for sensitive materials</w:t>
            </w:r>
          </w:p>
        </w:tc>
        <w:tc>
          <w:tcPr>
            <w:tcW w:type="dxa" w:w="1728"/>
          </w:tcPr>
          <w:p>
            <w:r>
              <w:t>Building access logs where available</w:t>
            </w:r>
          </w:p>
        </w:tc>
        <w:tc>
          <w:tcPr>
            <w:tcW w:type="dxa" w:w="1728"/>
          </w:tcPr>
          <w:p>
            <w:r>
              <w:t>Periodic facilities/security checks</w:t>
            </w:r>
          </w:p>
        </w:tc>
      </w:tr>
      <w:tr>
        <w:tc>
          <w:tcPr>
            <w:tcW w:type="dxa" w:w="1728"/>
          </w:tcPr>
          <w:p>
            <w:r>
              <w:t>Restricted Business Area</w:t>
            </w:r>
          </w:p>
        </w:tc>
        <w:tc>
          <w:tcPr>
            <w:tcW w:type="dxa" w:w="1728"/>
          </w:tcPr>
          <w:p>
            <w:r>
              <w:t>Finance office, HR records area, legal records area</w:t>
            </w:r>
          </w:p>
        </w:tc>
        <w:tc>
          <w:tcPr>
            <w:tcW w:type="dxa" w:w="1728"/>
          </w:tcPr>
          <w:p>
            <w:r>
              <w:t>Role-based access; locked rooms/cabinets; visitor escort</w:t>
            </w:r>
          </w:p>
        </w:tc>
        <w:tc>
          <w:tcPr>
            <w:tcW w:type="dxa" w:w="1728"/>
          </w:tcPr>
          <w:p>
            <w:r>
              <w:t>Required</w:t>
            </w:r>
          </w:p>
        </w:tc>
        <w:tc>
          <w:tcPr>
            <w:tcW w:type="dxa" w:w="1728"/>
          </w:tcPr>
          <w:p>
            <w:r>
              <w:t>Access review and event escalation</w:t>
            </w:r>
          </w:p>
        </w:tc>
      </w:tr>
      <w:tr>
        <w:tc>
          <w:tcPr>
            <w:tcW w:type="dxa" w:w="1728"/>
          </w:tcPr>
          <w:p>
            <w:r>
              <w:t>Secure Technical Area</w:t>
            </w:r>
          </w:p>
        </w:tc>
        <w:tc>
          <w:tcPr>
            <w:tcW w:type="dxa" w:w="1728"/>
          </w:tcPr>
          <w:p>
            <w:r>
              <w:t>Server room, network room, telecommunications room</w:t>
            </w:r>
          </w:p>
        </w:tc>
        <w:tc>
          <w:tcPr>
            <w:tcW w:type="dxa" w:w="1728"/>
          </w:tcPr>
          <w:p>
            <w:r>
              <w:t>Access-controlled door; restricted authorisation; locked racks/cabinets; environmental safeguards</w:t>
            </w:r>
          </w:p>
        </w:tc>
        <w:tc>
          <w:tcPr>
            <w:tcW w:type="dxa" w:w="1728"/>
          </w:tcPr>
          <w:p>
            <w:r>
              <w:t>Required</w:t>
            </w:r>
          </w:p>
        </w:tc>
        <w:tc>
          <w:tcPr>
            <w:tcW w:type="dxa" w:w="1728"/>
          </w:tcPr>
          <w:p>
            <w:r>
              <w:t>CCTV, alarms, or equivalent monitoring where risk warrants</w:t>
            </w:r>
          </w:p>
        </w:tc>
      </w:tr>
      <w:tr>
        <w:tc>
          <w:tcPr>
            <w:tcW w:type="dxa" w:w="1728"/>
          </w:tcPr>
          <w:p>
            <w:r>
              <w:t>Critical Processing Facility</w:t>
            </w:r>
          </w:p>
        </w:tc>
        <w:tc>
          <w:tcPr>
            <w:tcW w:type="dxa" w:w="1728"/>
          </w:tcPr>
          <w:p>
            <w:r>
              <w:t>Data centre, critical operations room</w:t>
            </w:r>
          </w:p>
        </w:tc>
        <w:tc>
          <w:tcPr>
            <w:tcW w:type="dxa" w:w="1728"/>
          </w:tcPr>
          <w:p>
            <w:r>
              <w:t>Strong perimeter controls; approved access only; environmental monitoring; utility resilience; formal entry logs</w:t>
            </w:r>
          </w:p>
        </w:tc>
        <w:tc>
          <w:tcPr>
            <w:tcW w:type="dxa" w:w="1728"/>
          </w:tcPr>
          <w:p>
            <w:r>
              <w:t>Required</w:t>
            </w:r>
          </w:p>
        </w:tc>
        <w:tc>
          <w:tcPr>
            <w:tcW w:type="dxa" w:w="1728"/>
          </w:tcPr>
          <w:p>
            <w:r>
              <w:t>Continuous or near-continuous monitoring appropriate to risk</w:t>
            </w:r>
          </w:p>
        </w:tc>
      </w:tr>
      <w:tr>
        <w:tc>
          <w:tcPr>
            <w:tcW w:type="dxa" w:w="1728"/>
          </w:tcPr>
          <w:p>
            <w:r>
              <w:t>Storage/Archive Area</w:t>
            </w:r>
          </w:p>
        </w:tc>
        <w:tc>
          <w:tcPr>
            <w:tcW w:type="dxa" w:w="1728"/>
          </w:tcPr>
          <w:p>
            <w:r>
              <w:t>Records archive, backup media storage</w:t>
            </w:r>
          </w:p>
        </w:tc>
        <w:tc>
          <w:tcPr>
            <w:tcW w:type="dxa" w:w="1728"/>
          </w:tcPr>
          <w:p>
            <w:r>
              <w:t>Locked storage; access restricted by business need; environmental protection where required</w:t>
            </w:r>
          </w:p>
        </w:tc>
        <w:tc>
          <w:tcPr>
            <w:tcW w:type="dxa" w:w="1728"/>
          </w:tcPr>
          <w:p>
            <w:r>
              <w:t>Required for sensitive records/media</w:t>
            </w:r>
          </w:p>
        </w:tc>
        <w:tc>
          <w:tcPr>
            <w:tcW w:type="dxa" w:w="1728"/>
          </w:tcPr>
          <w:p>
            <w:r>
              <w:t>Periodic inspection and inventory reconciliation</w:t>
            </w:r>
          </w:p>
        </w:tc>
      </w:tr>
      <w:tr>
        <w:tc>
          <w:tcPr>
            <w:tcW w:type="dxa" w:w="1728"/>
          </w:tcPr>
          <w:p>
            <w:r>
              <w:t>Delivery/Loading Area</w:t>
            </w:r>
          </w:p>
        </w:tc>
        <w:tc>
          <w:tcPr>
            <w:tcW w:type="dxa" w:w="1728"/>
          </w:tcPr>
          <w:p>
            <w:r>
              <w:t>Loading bay, mailroom, goods-in</w:t>
            </w:r>
          </w:p>
        </w:tc>
        <w:tc>
          <w:tcPr>
            <w:tcW w:type="dxa" w:w="1728"/>
          </w:tcPr>
          <w:p>
            <w:r>
              <w:t>Segregated from secure areas; controlled deliveries; courier restrictions</w:t>
            </w:r>
          </w:p>
        </w:tc>
        <w:tc>
          <w:tcPr>
            <w:tcW w:type="dxa" w:w="1728"/>
          </w:tcPr>
          <w:p>
            <w:r>
              <w:t>Delivery logs where applicable</w:t>
            </w:r>
          </w:p>
        </w:tc>
        <w:tc>
          <w:tcPr>
            <w:tcW w:type="dxa" w:w="1728"/>
          </w:tcPr>
          <w:p>
            <w:r>
              <w:t>Staff oversight or surveillance where risk warrants</w:t>
            </w:r>
          </w:p>
        </w:tc>
      </w:tr>
    </w:tbl>
    <w:p>
      <w:pPr>
        <w:pStyle w:val="ListBullet"/>
      </w:pPr>
      <w:r>
        <w:t>Security Event Reporting</w:t>
      </w:r>
    </w:p>
    <w:p>
      <w:r>
        <w:t>18.1. Personnel shall promptly report physical and environmental security events, weaknesses, or suspicious activity.</w:t>
      </w:r>
    </w:p>
    <w:p>
      <w:r>
        <w:t>18.2. Reportable events include, but are not limited to, unauthorised access attempts, lost keys or badges, forced doors, tailgating, theft, vandalism, unattended sensitive materials, water leaks, fire alarms, power outages, equipment tampering, suspicious packages, and environmental control failures.</w:t>
      </w:r>
    </w:p>
    <w:p>
      <w:r>
        <w:t>18.3. Physical security incidents shall be managed in accordance with the organisation’s information security incident management process.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Approves the organisation’s overall risk appetite for physical and environmental security; ensures adequate resources are available to protect facilities, people, and information assets.</w:t>
            </w:r>
          </w:p>
        </w:tc>
      </w:tr>
      <w:tr>
        <w:tc>
          <w:tcPr>
            <w:tcW w:type="dxa" w:w="4320"/>
          </w:tcPr>
          <w:p>
            <w:r>
              <w:t>Chief Information Security Officer (CISO) / Information Security Manager</w:t>
            </w:r>
          </w:p>
        </w:tc>
        <w:tc>
          <w:tcPr>
            <w:tcW w:type="dxa" w:w="4320"/>
          </w:tcPr>
          <w:p>
            <w:r>
              <w:t>Owns the information security requirements for physical and environmental controls; ensures alignment with ISO/IEC 27001:2022 Annex A.7; monitors security risks and compliance; supports incident response and assurance activities.</w:t>
            </w:r>
          </w:p>
        </w:tc>
      </w:tr>
      <w:tr>
        <w:tc>
          <w:tcPr>
            <w:tcW w:type="dxa" w:w="4320"/>
          </w:tcPr>
          <w:p>
            <w:r>
              <w:t>Facilities Management</w:t>
            </w:r>
          </w:p>
        </w:tc>
        <w:tc>
          <w:tcPr>
            <w:tcW w:type="dxa" w:w="4320"/>
          </w:tcPr>
          <w:p>
            <w:r>
              <w:t>Implements and maintains physical security controls for premises, including locks, access control systems, CCTV, alarms, environmental controls, fire safety systems, utilities, maintenance coordination, and site-level security procedures.</w:t>
            </w:r>
          </w:p>
        </w:tc>
      </w:tr>
      <w:tr>
        <w:tc>
          <w:tcPr>
            <w:tcW w:type="dxa" w:w="4320"/>
          </w:tcPr>
          <w:p>
            <w:r>
              <w:t>Physical Security Manager / Site Security Lead</w:t>
            </w:r>
          </w:p>
        </w:tc>
        <w:tc>
          <w:tcPr>
            <w:tcW w:type="dxa" w:w="4320"/>
          </w:tcPr>
          <w:p>
            <w:r>
              <w:t>Manages site security operations, access monitoring, guard services, visitor controls, physical security incidents, and physical security investigations where applicable.</w:t>
            </w:r>
          </w:p>
        </w:tc>
      </w:tr>
      <w:tr>
        <w:tc>
          <w:tcPr>
            <w:tcW w:type="dxa" w:w="4320"/>
          </w:tcPr>
          <w:p>
            <w:r>
              <w:t>IT Operations / Infrastructure Team</w:t>
            </w:r>
          </w:p>
        </w:tc>
        <w:tc>
          <w:tcPr>
            <w:tcW w:type="dxa" w:w="4320"/>
          </w:tcPr>
          <w:p>
            <w:r>
              <w:t>Ensures protection of servers, network equipment, communications rooms, cabling, backup infrastructure, end-user equipment, and supporting technical environments; coordinates equipment maintenance, secure disposal, and asset lifecycle controls.</w:t>
            </w:r>
          </w:p>
        </w:tc>
      </w:tr>
      <w:tr>
        <w:tc>
          <w:tcPr>
            <w:tcW w:type="dxa" w:w="4320"/>
          </w:tcPr>
          <w:p>
            <w:r>
              <w:t>Asset Owners</w:t>
            </w:r>
          </w:p>
        </w:tc>
        <w:tc>
          <w:tcPr>
            <w:tcW w:type="dxa" w:w="4320"/>
          </w:tcPr>
          <w:p>
            <w:r>
              <w:t>Classify and approve access to assets under their ownership; define protection requirements; ensure equipment and media are handled, stored, transferred, and disposed of securely.</w:t>
            </w:r>
          </w:p>
        </w:tc>
      </w:tr>
      <w:tr>
        <w:tc>
          <w:tcPr>
            <w:tcW w:type="dxa" w:w="4320"/>
          </w:tcPr>
          <w:p>
            <w:r>
              <w:t>Area Owners</w:t>
            </w:r>
          </w:p>
        </w:tc>
        <w:tc>
          <w:tcPr>
            <w:tcW w:type="dxa" w:w="4320"/>
          </w:tcPr>
          <w:p>
            <w:r>
              <w:t>Approve access to secure areas; review access lists; define local secure area rules; ensure physical security requirements are implemented and maintained.</w:t>
            </w:r>
          </w:p>
        </w:tc>
      </w:tr>
      <w:tr>
        <w:tc>
          <w:tcPr>
            <w:tcW w:type="dxa" w:w="4320"/>
          </w:tcPr>
          <w:p>
            <w:r>
              <w:t>Human Resources</w:t>
            </w:r>
          </w:p>
        </w:tc>
        <w:tc>
          <w:tcPr>
            <w:tcW w:type="dxa" w:w="4320"/>
          </w:tcPr>
          <w:p>
            <w:r>
              <w:t>Notifies Facilities, IT, and Information Security of joiners, movers, and leavers requiring physical access changes; supports disciplinary processes for policy violations.</w:t>
            </w:r>
          </w:p>
        </w:tc>
      </w:tr>
      <w:tr>
        <w:tc>
          <w:tcPr>
            <w:tcW w:type="dxa" w:w="4320"/>
          </w:tcPr>
          <w:p>
            <w:r>
              <w:t>Procurement / Vendor Management</w:t>
            </w:r>
          </w:p>
        </w:tc>
        <w:tc>
          <w:tcPr>
            <w:tcW w:type="dxa" w:w="4320"/>
          </w:tcPr>
          <w:p>
            <w:r>
              <w:t>Ensures suppliers involved in facilities, maintenance, security monitoring, disposal, storage, courier, and hosting services meet contractual security requirements.</w:t>
            </w:r>
          </w:p>
        </w:tc>
      </w:tr>
      <w:tr>
        <w:tc>
          <w:tcPr>
            <w:tcW w:type="dxa" w:w="4320"/>
          </w:tcPr>
          <w:p>
            <w:r>
              <w:t>Employees and Contractors</w:t>
            </w:r>
          </w:p>
        </w:tc>
        <w:tc>
          <w:tcPr>
            <w:tcW w:type="dxa" w:w="4320"/>
          </w:tcPr>
          <w:p>
            <w:r>
              <w:t>Comply with physical and environmental security requirements; protect badges, keys, equipment, information, and media; follow clear desk/screen requirements; report incidents, weaknesses, and suspicious activity promptly.</w:t>
            </w:r>
          </w:p>
        </w:tc>
      </w:tr>
      <w:tr>
        <w:tc>
          <w:tcPr>
            <w:tcW w:type="dxa" w:w="4320"/>
          </w:tcPr>
          <w:p>
            <w:r>
              <w:t>Visitors</w:t>
            </w:r>
          </w:p>
        </w:tc>
        <w:tc>
          <w:tcPr>
            <w:tcW w:type="dxa" w:w="4320"/>
          </w:tcPr>
          <w:p>
            <w:r>
              <w:t>Comply with site rules, remain within authorised areas, wear issued identification where required, and follow escort or supervision requirements.</w:t>
            </w:r>
          </w:p>
        </w:tc>
      </w:tr>
      <w:tr>
        <w:tc>
          <w:tcPr>
            <w:tcW w:type="dxa" w:w="4320"/>
          </w:tcPr>
          <w:p>
            <w:r>
              <w:t>Internal Audit / Compliance Function</w:t>
            </w:r>
          </w:p>
        </w:tc>
        <w:tc>
          <w:tcPr>
            <w:tcW w:type="dxa" w:w="4320"/>
          </w:tcPr>
          <w:p>
            <w:r>
              <w:t>Performs independent reviews of physical and environmental security controls, records findings, and tracks remediation where applicable.</w:t>
            </w:r>
          </w:p>
        </w:tc>
      </w:tr>
    </w:tbl>
    <w:p>
      <w:pPr>
        <w:pStyle w:val="Heading2"/>
      </w:pPr>
      <w:r>
        <w:t>Compliance, Monitoring &amp; Enforcement</w:t>
      </w:r>
    </w:p>
    <w:p>
      <w:r>
        <w:t>Compliance with this Policy is mandatory.</w:t>
      </w:r>
    </w:p>
    <w:p>
      <w:r>
        <w:t>The organisation shall monitor compliance through a combination of preventive, detective, and corrective activities, including access reviews, security patrols, CCTV review where lawful and appropriate, visitor log reviews, asset inventory checks, facilities inspections, environmental monitoring, maintenance records, incident reports, internal audits, supplier assurance, and management review.</w:t>
      </w:r>
    </w:p>
    <w:p>
      <w:r>
        <w:t>The following compliance activities shall be performed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 / Records</w:t>
            </w:r>
          </w:p>
        </w:tc>
      </w:tr>
      <w:tr>
        <w:tc>
          <w:tcPr>
            <w:tcW w:type="dxa" w:w="2160"/>
          </w:tcPr>
          <w:p>
            <w:r>
              <w:t>Review physical access rights to secure technical areas</w:t>
            </w:r>
          </w:p>
        </w:tc>
        <w:tc>
          <w:tcPr>
            <w:tcW w:type="dxa" w:w="2160"/>
          </w:tcPr>
          <w:p>
            <w:r>
              <w:t>Quarterly</w:t>
            </w:r>
          </w:p>
        </w:tc>
        <w:tc>
          <w:tcPr>
            <w:tcW w:type="dxa" w:w="2160"/>
          </w:tcPr>
          <w:p>
            <w:r>
              <w:t>Area Owner / Facilities / Information Security</w:t>
            </w:r>
          </w:p>
        </w:tc>
        <w:tc>
          <w:tcPr>
            <w:tcW w:type="dxa" w:w="2160"/>
          </w:tcPr>
          <w:p>
            <w:r>
              <w:t>Access review record, approvals, remediation actions</w:t>
            </w:r>
          </w:p>
        </w:tc>
      </w:tr>
      <w:tr>
        <w:tc>
          <w:tcPr>
            <w:tcW w:type="dxa" w:w="2160"/>
          </w:tcPr>
          <w:p>
            <w:r>
              <w:t>Review physical access rights to general offices and restricted business areas</w:t>
            </w:r>
          </w:p>
        </w:tc>
        <w:tc>
          <w:tcPr>
            <w:tcW w:type="dxa" w:w="2160"/>
          </w:tcPr>
          <w:p>
            <w:r>
              <w:t>At least annually and upon role change</w:t>
            </w:r>
          </w:p>
        </w:tc>
        <w:tc>
          <w:tcPr>
            <w:tcW w:type="dxa" w:w="2160"/>
          </w:tcPr>
          <w:p>
            <w:r>
              <w:t>Facilities / HR / Area Owner</w:t>
            </w:r>
          </w:p>
        </w:tc>
        <w:tc>
          <w:tcPr>
            <w:tcW w:type="dxa" w:w="2160"/>
          </w:tcPr>
          <w:p>
            <w:r>
              <w:t>Access control export, review sign-off</w:t>
            </w:r>
          </w:p>
        </w:tc>
      </w:tr>
      <w:tr>
        <w:tc>
          <w:tcPr>
            <w:tcW w:type="dxa" w:w="2160"/>
          </w:tcPr>
          <w:p>
            <w:r>
              <w:t>Review visitor access records</w:t>
            </w:r>
          </w:p>
        </w:tc>
        <w:tc>
          <w:tcPr>
            <w:tcW w:type="dxa" w:w="2160"/>
          </w:tcPr>
          <w:p>
            <w:r>
              <w:t>Monthly or risk-based</w:t>
            </w:r>
          </w:p>
        </w:tc>
        <w:tc>
          <w:tcPr>
            <w:tcW w:type="dxa" w:w="2160"/>
          </w:tcPr>
          <w:p>
            <w:r>
              <w:t>Facilities / Site Security Lead</w:t>
            </w:r>
          </w:p>
        </w:tc>
        <w:tc>
          <w:tcPr>
            <w:tcW w:type="dxa" w:w="2160"/>
          </w:tcPr>
          <w:p>
            <w:r>
              <w:t>Visitor logs, exception records</w:t>
            </w:r>
          </w:p>
        </w:tc>
      </w:tr>
      <w:tr>
        <w:tc>
          <w:tcPr>
            <w:tcW w:type="dxa" w:w="2160"/>
          </w:tcPr>
          <w:p>
            <w:r>
              <w:t>Inspect secure areas for physical security compliance</w:t>
            </w:r>
          </w:p>
        </w:tc>
        <w:tc>
          <w:tcPr>
            <w:tcW w:type="dxa" w:w="2160"/>
          </w:tcPr>
          <w:p>
            <w:r>
              <w:t>Quarterly</w:t>
            </w:r>
          </w:p>
        </w:tc>
        <w:tc>
          <w:tcPr>
            <w:tcW w:type="dxa" w:w="2160"/>
          </w:tcPr>
          <w:p>
            <w:r>
              <w:t>Facilities / Information Security</w:t>
            </w:r>
          </w:p>
        </w:tc>
        <w:tc>
          <w:tcPr>
            <w:tcW w:type="dxa" w:w="2160"/>
          </w:tcPr>
          <w:p>
            <w:r>
              <w:t>Inspection checklist, findings, corrective actions</w:t>
            </w:r>
          </w:p>
        </w:tc>
      </w:tr>
      <w:tr>
        <w:tc>
          <w:tcPr>
            <w:tcW w:type="dxa" w:w="2160"/>
          </w:tcPr>
          <w:p>
            <w:r>
              <w:t>Test alarms, access control systems, and monitoring equipment</w:t>
            </w:r>
          </w:p>
        </w:tc>
        <w:tc>
          <w:tcPr>
            <w:tcW w:type="dxa" w:w="2160"/>
          </w:tcPr>
          <w:p>
            <w:r>
              <w:t>At least annually or per manufacturer guidance</w:t>
            </w:r>
          </w:p>
        </w:tc>
        <w:tc>
          <w:tcPr>
            <w:tcW w:type="dxa" w:w="2160"/>
          </w:tcPr>
          <w:p>
            <w:r>
              <w:t>Facilities / Security Provider</w:t>
            </w:r>
          </w:p>
        </w:tc>
        <w:tc>
          <w:tcPr>
            <w:tcW w:type="dxa" w:w="2160"/>
          </w:tcPr>
          <w:p>
            <w:r>
              <w:t>Test records, maintenance logs</w:t>
            </w:r>
          </w:p>
        </w:tc>
      </w:tr>
      <w:tr>
        <w:tc>
          <w:tcPr>
            <w:tcW w:type="dxa" w:w="2160"/>
          </w:tcPr>
          <w:p>
            <w:r>
              <w:t>Review environmental monitoring and utility resilience controls for critical areas</w:t>
            </w:r>
          </w:p>
        </w:tc>
        <w:tc>
          <w:tcPr>
            <w:tcW w:type="dxa" w:w="2160"/>
          </w:tcPr>
          <w:p>
            <w:r>
              <w:t>At least annually</w:t>
            </w:r>
          </w:p>
        </w:tc>
        <w:tc>
          <w:tcPr>
            <w:tcW w:type="dxa" w:w="2160"/>
          </w:tcPr>
          <w:p>
            <w:r>
              <w:t>Facilities / IT Operations</w:t>
            </w:r>
          </w:p>
        </w:tc>
        <w:tc>
          <w:tcPr>
            <w:tcW w:type="dxa" w:w="2160"/>
          </w:tcPr>
          <w:p>
            <w:r>
              <w:t>Inspection reports, test results, maintenance records</w:t>
            </w:r>
          </w:p>
        </w:tc>
      </w:tr>
      <w:tr>
        <w:tc>
          <w:tcPr>
            <w:tcW w:type="dxa" w:w="2160"/>
          </w:tcPr>
          <w:p>
            <w:r>
              <w:t>Reconcile asset inventory for critical equipment</w:t>
            </w:r>
          </w:p>
        </w:tc>
        <w:tc>
          <w:tcPr>
            <w:tcW w:type="dxa" w:w="2160"/>
          </w:tcPr>
          <w:p>
            <w:r>
              <w:t>At least annually</w:t>
            </w:r>
          </w:p>
        </w:tc>
        <w:tc>
          <w:tcPr>
            <w:tcW w:type="dxa" w:w="2160"/>
          </w:tcPr>
          <w:p>
            <w:r>
              <w:t>IT Operations / Asset Owners</w:t>
            </w:r>
          </w:p>
        </w:tc>
        <w:tc>
          <w:tcPr>
            <w:tcW w:type="dxa" w:w="2160"/>
          </w:tcPr>
          <w:p>
            <w:r>
              <w:t>Asset register, reconciliation results</w:t>
            </w:r>
          </w:p>
        </w:tc>
      </w:tr>
      <w:tr>
        <w:tc>
          <w:tcPr>
            <w:tcW w:type="dxa" w:w="2160"/>
          </w:tcPr>
          <w:p>
            <w:r>
              <w:t>Review media disposal and equipment sanitisation records</w:t>
            </w:r>
          </w:p>
        </w:tc>
        <w:tc>
          <w:tcPr>
            <w:tcW w:type="dxa" w:w="2160"/>
          </w:tcPr>
          <w:p>
            <w:r>
              <w:t>Quarterly or risk-based</w:t>
            </w:r>
          </w:p>
        </w:tc>
        <w:tc>
          <w:tcPr>
            <w:tcW w:type="dxa" w:w="2160"/>
          </w:tcPr>
          <w:p>
            <w:r>
              <w:t>IT Operations / Information Security</w:t>
            </w:r>
          </w:p>
        </w:tc>
        <w:tc>
          <w:tcPr>
            <w:tcW w:type="dxa" w:w="2160"/>
          </w:tcPr>
          <w:p>
            <w:r>
              <w:t>Disposal logs, certificates of destruction</w:t>
            </w:r>
          </w:p>
        </w:tc>
      </w:tr>
      <w:tr>
        <w:tc>
          <w:tcPr>
            <w:tcW w:type="dxa" w:w="2160"/>
          </w:tcPr>
          <w:p>
            <w:r>
              <w:t>Conduct physical security awareness or reminders</w:t>
            </w:r>
          </w:p>
        </w:tc>
        <w:tc>
          <w:tcPr>
            <w:tcW w:type="dxa" w:w="2160"/>
          </w:tcPr>
          <w:p>
            <w:r>
              <w:t>At least annually</w:t>
            </w:r>
          </w:p>
        </w:tc>
        <w:tc>
          <w:tcPr>
            <w:tcW w:type="dxa" w:w="2160"/>
          </w:tcPr>
          <w:p>
            <w:r>
              <w:t>Information Security / HR</w:t>
            </w:r>
          </w:p>
        </w:tc>
        <w:tc>
          <w:tcPr>
            <w:tcW w:type="dxa" w:w="2160"/>
          </w:tcPr>
          <w:p>
            <w:r>
              <w:t>Training records, communications</w:t>
            </w:r>
          </w:p>
        </w:tc>
      </w:tr>
      <w:tr>
        <w:tc>
          <w:tcPr>
            <w:tcW w:type="dxa" w:w="2160"/>
          </w:tcPr>
          <w:p>
            <w:r>
              <w:t>Review physical security incidents and trends</w:t>
            </w:r>
          </w:p>
        </w:tc>
        <w:tc>
          <w:tcPr>
            <w:tcW w:type="dxa" w:w="2160"/>
          </w:tcPr>
          <w:p>
            <w:r>
              <w:t>Quarterly</w:t>
            </w:r>
          </w:p>
        </w:tc>
        <w:tc>
          <w:tcPr>
            <w:tcW w:type="dxa" w:w="2160"/>
          </w:tcPr>
          <w:p>
            <w:r>
              <w:t>Information Security / Facilities</w:t>
            </w:r>
          </w:p>
        </w:tc>
        <w:tc>
          <w:tcPr>
            <w:tcW w:type="dxa" w:w="2160"/>
          </w:tcPr>
          <w:p>
            <w:r>
              <w:t>Incident register, trend analysis, management actions</w:t>
            </w:r>
          </w:p>
        </w:tc>
      </w:tr>
    </w:tbl>
    <w:p>
      <w:r>
        <w:t>Policy violations may result in corrective action, including removal of access rights, mandatory retraining, disciplinary action up to and including termination of employment or contract, civil or criminal referral, supplier remediation, or contract termination.</w:t>
      </w:r>
    </w:p>
    <w:p>
      <w:r>
        <w:t>Any suspected or confirmed violation that may affect confidentiality, integrity, availability, personal safety, legal compliance, or business continuity shall be reported and handled as an incident.</w:t>
      </w:r>
    </w:p>
    <w:p>
      <w:pPr>
        <w:pStyle w:val="Heading2"/>
      </w:pPr>
      <w:r>
        <w:t>Exceptions</w:t>
      </w:r>
    </w:p>
    <w:p>
      <w:r>
        <w:t>Exceptions to this Policy shall be permitted only where a documented business justification exists and the associated risk has been assessed, approved, and accepted by authorised management.</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or team requesting the exception</w:t>
            </w:r>
          </w:p>
        </w:tc>
      </w:tr>
      <w:tr>
        <w:tc>
          <w:tcPr>
            <w:tcW w:type="dxa" w:w="4320"/>
          </w:tcPr>
          <w:p>
            <w:r>
              <w:t>Policy Requirement</w:t>
            </w:r>
          </w:p>
        </w:tc>
        <w:tc>
          <w:tcPr>
            <w:tcW w:type="dxa" w:w="4320"/>
          </w:tcPr>
          <w:p>
            <w:r>
              <w:t>Specific requirement for which an exception is requested</w:t>
            </w:r>
          </w:p>
        </w:tc>
      </w:tr>
      <w:tr>
        <w:tc>
          <w:tcPr>
            <w:tcW w:type="dxa" w:w="4320"/>
          </w:tcPr>
          <w:p>
            <w:r>
              <w:t>Business Justification</w:t>
            </w:r>
          </w:p>
        </w:tc>
        <w:tc>
          <w:tcPr>
            <w:tcW w:type="dxa" w:w="4320"/>
          </w:tcPr>
          <w:p>
            <w:r>
              <w:t>Reason the requirement cannot be met</w:t>
            </w:r>
          </w:p>
        </w:tc>
      </w:tr>
      <w:tr>
        <w:tc>
          <w:tcPr>
            <w:tcW w:type="dxa" w:w="4320"/>
          </w:tcPr>
          <w:p>
            <w:r>
              <w:t>Assets / Locations Affected</w:t>
            </w:r>
          </w:p>
        </w:tc>
        <w:tc>
          <w:tcPr>
            <w:tcW w:type="dxa" w:w="4320"/>
          </w:tcPr>
          <w:p>
            <w:r>
              <w:t>Facilities, rooms, systems, equipment, media, or information impacted</w:t>
            </w:r>
          </w:p>
        </w:tc>
      </w:tr>
      <w:tr>
        <w:tc>
          <w:tcPr>
            <w:tcW w:type="dxa" w:w="4320"/>
          </w:tcPr>
          <w:p>
            <w:r>
              <w:t>Risk Assessment</w:t>
            </w:r>
          </w:p>
        </w:tc>
        <w:tc>
          <w:tcPr>
            <w:tcW w:type="dxa" w:w="4320"/>
          </w:tcPr>
          <w:p>
            <w:r>
              <w:t>Security, operational, legal, safety, and compliance risks</w:t>
            </w:r>
          </w:p>
        </w:tc>
      </w:tr>
      <w:tr>
        <w:tc>
          <w:tcPr>
            <w:tcW w:type="dxa" w:w="4320"/>
          </w:tcPr>
          <w:p>
            <w:r>
              <w:t>Compensating Controls</w:t>
            </w:r>
          </w:p>
        </w:tc>
        <w:tc>
          <w:tcPr>
            <w:tcW w:type="dxa" w:w="4320"/>
          </w:tcPr>
          <w:p>
            <w:r>
              <w:t>Alternative safeguards to reduce risk</w:t>
            </w:r>
          </w:p>
        </w:tc>
      </w:tr>
      <w:tr>
        <w:tc>
          <w:tcPr>
            <w:tcW w:type="dxa" w:w="4320"/>
          </w:tcPr>
          <w:p>
            <w:r>
              <w:t>Duration</w:t>
            </w:r>
          </w:p>
        </w:tc>
        <w:tc>
          <w:tcPr>
            <w:tcW w:type="dxa" w:w="4320"/>
          </w:tcPr>
          <w:p>
            <w:r>
              <w:t>Requested start and end date; permanent exceptions are not permitted without formal risk acceptance</w:t>
            </w:r>
          </w:p>
        </w:tc>
      </w:tr>
      <w:tr>
        <w:tc>
          <w:tcPr>
            <w:tcW w:type="dxa" w:w="4320"/>
          </w:tcPr>
          <w:p>
            <w:r>
              <w:t>Approvals</w:t>
            </w:r>
          </w:p>
        </w:tc>
        <w:tc>
          <w:tcPr>
            <w:tcW w:type="dxa" w:w="4320"/>
          </w:tcPr>
          <w:p>
            <w:r>
              <w:t>Area Owner, Facilities, Information Security, and Risk Owner approvals as applicable</w:t>
            </w:r>
          </w:p>
        </w:tc>
      </w:tr>
      <w:tr>
        <w:tc>
          <w:tcPr>
            <w:tcW w:type="dxa" w:w="4320"/>
          </w:tcPr>
          <w:p>
            <w:r>
              <w:t>Review Date</w:t>
            </w:r>
          </w:p>
        </w:tc>
        <w:tc>
          <w:tcPr>
            <w:tcW w:type="dxa" w:w="4320"/>
          </w:tcPr>
          <w:p>
            <w:r>
              <w:t>Date by which the exception must be revalidated or closed</w:t>
            </w:r>
          </w:p>
        </w:tc>
      </w:tr>
    </w:tbl>
    <w:p>
      <w:r>
        <w:t>Exceptions shall be time-bound, reviewed at defined intervals, and revoked when no longer justified. Expired exceptions shall be treated as non-compliance unless renewed through the approved exception process.</w:t>
      </w:r>
    </w:p>
    <w:p>
      <w:pPr>
        <w:pStyle w:val="Heading2"/>
      </w:pPr>
      <w:r>
        <w:t>Review &amp; Maintenance</w:t>
      </w:r>
    </w:p>
    <w:p>
      <w:r>
        <w:t>This Policy shall be reviewed at least annually or sooner if any of the following occur:</w:t>
      </w:r>
    </w:p>
    <w:p>
      <w:pPr>
        <w:pStyle w:val="ListBullet"/>
      </w:pPr>
      <w:r>
        <w:t>Significant changes to facilities, secure areas, data centres, offices, or remote working arrangements.</w:t>
      </w:r>
    </w:p>
    <w:p>
      <w:pPr>
        <w:pStyle w:val="ListBullet"/>
      </w:pPr>
      <w:r>
        <w:t>Introduction of new physical security technologies, access control systems, monitoring systems, or environmental controls.</w:t>
      </w:r>
    </w:p>
    <w:p>
      <w:pPr>
        <w:pStyle w:val="ListBullet"/>
      </w:pPr>
      <w:r>
        <w:t>Significant changes to the organisation’s risk profile, threat landscape, business operations, or regulatory obligations.</w:t>
      </w:r>
    </w:p>
    <w:p>
      <w:pPr>
        <w:pStyle w:val="ListBullet"/>
      </w:pPr>
      <w:r>
        <w:t>Physical security incidents, audit findings, control failures, or lessons learned requiring policy updates.</w:t>
      </w:r>
    </w:p>
    <w:p>
      <w:pPr>
        <w:pStyle w:val="ListBullet"/>
      </w:pPr>
      <w:r>
        <w:t>Changes to ISO/IEC 27001, ISO/IEC 27002, legal requirements, contractual requirements, or internal governance standards.</w:t>
      </w:r>
    </w:p>
    <w:p>
      <w:r>
        <w:t>The Policy Owner shall ensure this Policy remains accurate, approved, communicated, and aligned with the ISMS. Updates shall be version-controlled and approved through the organisation’s policy governance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release</w:t>
            </w:r>
          </w:p>
        </w:tc>
        <w:tc>
          <w:tcPr>
            <w:tcW w:type="dxa" w:w="1728"/>
          </w:tcPr>
          <w:p>
            <w:r>
              <w:t>[Name / Role]</w:t>
            </w:r>
          </w:p>
        </w:tc>
        <w:tc>
          <w:tcPr>
            <w:tcW w:type="dxa" w:w="1728"/>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