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Data Protection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[POL-DP-001]</w:t>
            </w:r>
          </w:p>
        </w:tc>
        <w:tc>
          <w:tcPr>
            <w:tcW w:type="dxa" w:w="1440"/>
          </w:tcPr>
          <w:p>
            <w:r>
              <w:t>1.0</w:t>
            </w:r>
          </w:p>
        </w:tc>
        <w:tc>
          <w:tcPr>
            <w:tcW w:type="dxa" w:w="1440"/>
          </w:tcPr>
          <w:p>
            <w:r>
              <w:t>[Data Protection Officer / Privacy Office]</w:t>
            </w:r>
          </w:p>
        </w:tc>
        <w:tc>
          <w:tcPr>
            <w:tcW w:type="dxa" w:w="1440"/>
          </w:tcPr>
          <w:p>
            <w:r>
              <w:t>[DD Month YYYY]</w:t>
            </w:r>
          </w:p>
        </w:tc>
        <w:tc>
          <w:tcPr>
            <w:tcW w:type="dxa" w:w="1440"/>
          </w:tcPr>
          <w:p>
            <w:r>
              <w:t>Saudi Personal Data Protection Law</w:t>
            </w:r>
          </w:p>
        </w:tc>
        <w:tc>
          <w:tcPr>
            <w:tcW w:type="dxa" w:w="1440"/>
          </w:tcPr>
          <w:p>
            <w:r>
              <w:t>Internal</w:t>
            </w:r>
          </w:p>
        </w:tc>
      </w:tr>
    </w:tbl>
    <w:p>
      <w:pPr>
        <w:pStyle w:val="Heading2"/>
      </w:pPr>
      <w:r>
        <w:t>Purpose</w:t>
      </w:r>
    </w:p>
    <w:p>
      <w:r>
        <w:t>This Internal Data Protection Policy establishes mandatory organisation-wide requirements for protecting personal data in accordance with the Saudi Personal Data Protection Law and its Implementing Regulations.</w:t>
      </w:r>
    </w:p>
    <w:p>
      <w:r>
        <w:t>The purpose of this Policy is to ensure that [Organisation Name]:</w:t>
      </w:r>
    </w:p>
    <w:p>
      <w:pPr>
        <w:pStyle w:val="ListBullet"/>
      </w:pPr>
      <w:r>
        <w:t>Processes personal data lawfully, fairly, transparently, and only for legitimate purposes.</w:t>
      </w:r>
    </w:p>
    <w:p>
      <w:pPr>
        <w:pStyle w:val="ListBullet"/>
      </w:pPr>
      <w:r>
        <w:t>Protects the privacy rights of individuals whose personal data is processed.</w:t>
      </w:r>
    </w:p>
    <w:p>
      <w:pPr>
        <w:pStyle w:val="ListBullet"/>
      </w:pPr>
      <w:r>
        <w:t>Applies appropriate governance, security, retention, disclosure, transfer, and accountability controls.</w:t>
      </w:r>
    </w:p>
    <w:p>
      <w:pPr>
        <w:pStyle w:val="ListBullet"/>
      </w:pPr>
      <w:r>
        <w:t>Demonstrates responsible handling of personal data throughout its lifecycle.</w:t>
      </w:r>
    </w:p>
    <w:p>
      <w:pPr>
        <w:pStyle w:val="ListBullet"/>
      </w:pPr>
      <w:r>
        <w:t>Ensures employees, contractors, service providers, and business units understand their obligations when processing personal data.</w:t>
      </w:r>
    </w:p>
    <w:p>
      <w:pPr>
        <w:pStyle w:val="Heading2"/>
      </w:pPr>
      <w:r>
        <w:t>Scope</w:t>
      </w:r>
    </w:p>
    <w:p>
      <w:r>
        <w:t>This Policy applies to:</w:t>
      </w:r>
    </w:p>
    <w:p>
      <w:pPr>
        <w:pStyle w:val="ListBullet"/>
      </w:pPr>
      <w:r>
        <w:t>All employees, directors, officers, temporary workers, interns, consultants, contractors, and third parties acting on behalf of [Organisation Name].</w:t>
      </w:r>
    </w:p>
    <w:p>
      <w:pPr>
        <w:pStyle w:val="ListBullet"/>
      </w:pPr>
      <w:r>
        <w:t>All business units, subsidiaries, branches, functions, projects, and systems operated by or for [Organisation Name].</w:t>
      </w:r>
    </w:p>
    <w:p>
      <w:pPr>
        <w:pStyle w:val="ListBullet"/>
      </w:pPr>
      <w:r>
        <w:t>All personal data processed by [Organisation Name], whether in electronic, paper, audio, visual, biometric, or any other format.</w:t>
      </w:r>
    </w:p>
    <w:p>
      <w:pPr>
        <w:pStyle w:val="ListBullet"/>
      </w:pPr>
      <w:r>
        <w:t>All processing activities, including collection, recording, storage, use, analysis, modification, disclosure, transfer, publication, retention, archival, destruction, and anonymisation.</w:t>
      </w:r>
    </w:p>
    <w:p>
      <w:pPr>
        <w:pStyle w:val="ListBullet"/>
      </w:pPr>
      <w:r>
        <w:t>Personal data relating to customers, employees, job applicants, suppliers, visitors, patients, users, beneficiaries, business contacts, shareholders, and any other identifiable individuals.</w:t>
      </w:r>
    </w:p>
    <w:p>
      <w:r>
        <w:t>For this Policy:</w:t>
      </w:r>
    </w:p>
    <w:p>
      <w:pPr>
        <w:pStyle w:val="ListBullet"/>
      </w:pPr>
      <w:r>
        <w:t>Personal data means any data, regardless of form or source, that identifies an individual directly or indirectly.</w:t>
      </w:r>
    </w:p>
    <w:p>
      <w:pPr>
        <w:pStyle w:val="ListBullet"/>
      </w:pPr>
      <w:r>
        <w:t>Sensitive personal data includes data revealing or relating to matters such as health, genetic or biometric identity, religious belief, security status, financial and credit information, location data where sensitive in context, and other data requiring heightened protection.</w:t>
      </w:r>
    </w:p>
    <w:p>
      <w:pPr>
        <w:pStyle w:val="ListBullet"/>
      </w:pPr>
      <w:r>
        <w:t>Data subject means the individual to whom personal data relates.</w:t>
      </w:r>
    </w:p>
    <w:p>
      <w:pPr>
        <w:pStyle w:val="ListBullet"/>
      </w:pPr>
      <w:r>
        <w:t>Controller means the entity that determines the purpose and method of processing personal data.</w:t>
      </w:r>
    </w:p>
    <w:p>
      <w:pPr>
        <w:pStyle w:val="ListBullet"/>
      </w:pPr>
      <w:r>
        <w:t>Processor means an entity that processes personal data on behalf of a controller.</w:t>
      </w:r>
    </w:p>
    <w:p>
      <w:pPr>
        <w:pStyle w:val="ListBullet"/>
      </w:pPr>
      <w:r>
        <w:t>Processing means any operation performed on personal data.</w:t>
      </w:r>
    </w:p>
    <w:p>
      <w:pPr>
        <w:pStyle w:val="Heading2"/>
      </w:pPr>
      <w:r>
        <w:t>Policy Statements</w:t>
      </w:r>
    </w:p>
    <w:p>
      <w:pPr>
        <w:pStyle w:val="ListBullet"/>
      </w:pPr>
      <w:r>
        <w:t>Accountability and Governance</w:t>
      </w:r>
    </w:p>
    <w:p>
      <w:r>
        <w:t>1.1. [Organisation Name] shall establish and maintain a data protection governance framework that assigns clear accountability for personal data protection across the organisation.</w:t>
      </w:r>
    </w:p>
    <w:p>
      <w:r>
        <w:t>1.2. [Organisation Name] shall maintain documented policies, standards, procedures, registers, and evidence demonstrating compliance with this Policy and applicable data protection obligations.</w:t>
      </w:r>
    </w:p>
    <w:p>
      <w:r>
        <w:t>1.3. Business owners shall be accountable for ensuring that personal data processed within their functions complies with this Policy.</w:t>
      </w:r>
    </w:p>
    <w:p>
      <w:r>
        <w:t>1.4. Personal data protection requirements shall be embedded into business processes, technology projects, product development, procurement, outsourcing, marketing, human resources, security, and records management activities.</w:t>
      </w:r>
    </w:p>
    <w:p>
      <w:r>
        <w:t>1.5. Decisions involving significant personal data processing risks shall be documented and approved by appropriate management and the Data Protection Officer or Privacy Office.</w:t>
      </w:r>
    </w:p>
    <w:p>
      <w:pPr>
        <w:pStyle w:val="ListBullet"/>
      </w:pPr>
      <w:r>
        <w:t>Lawful Basis and Legitimate Purpose</w:t>
      </w:r>
    </w:p>
    <w:p>
      <w:r>
        <w:t>2.1. [Organisation Name] shall process personal data only where there is a lawful and legitimate basis to do so.</w:t>
      </w:r>
    </w:p>
    <w:p>
      <w:r>
        <w:t>2.2. Personal data shall be collected and processed only for specific, clear, and lawful purposes that are directly related to [Organisation Name]’s activities.</w:t>
      </w:r>
    </w:p>
    <w:p>
      <w:r>
        <w:t>2.3. Personal data shall not be processed in a manner incompatible with the purpose for which it was collected unless a valid legal basis exists and required notices, approvals, or safeguards are in place.</w:t>
      </w:r>
    </w:p>
    <w:p>
      <w:r>
        <w:t>2.4. Where consent is used as the legal basis for processing, consent shall be freely given, specific, informed, documented, and capable of being withdrawn.</w:t>
      </w:r>
    </w:p>
    <w:p>
      <w:r>
        <w:t>2.5. The organisation shall not make service access conditional on consent to unrelated processing unless such consent is genuinely necessary for providing the service.</w:t>
      </w:r>
    </w:p>
    <w:p>
      <w:r>
        <w:t>2.6. Processing shall be limited to the minimum personal data necessary to achieve the approved purpose.</w:t>
      </w:r>
    </w:p>
    <w:p>
      <w:pPr>
        <w:pStyle w:val="ListBullet"/>
      </w:pPr>
      <w:r>
        <w:t>Transparency and Privacy Notices</w:t>
      </w:r>
    </w:p>
    <w:p>
      <w:r>
        <w:t>3.1. [Organisation Name] shall provide clear privacy notices to data subjects before or at the time personal data is collected, unless a lawful exception applies.</w:t>
      </w:r>
    </w:p>
    <w:p>
      <w:r>
        <w:t>3.2. Privacy notices shall be written in clear and accessible language appropriate to the audience.</w:t>
      </w:r>
    </w:p>
    <w:p>
      <w:r>
        <w:t>3.3. Privacy notices shall explain, at a minimum:</w:t>
      </w:r>
    </w:p>
    <w:tbl>
      <w:tblPr>
        <w:tblStyle w:val="TableGrid"/>
        <w:tblW w:type="auto" w:w="0"/>
        <w:tblLook w:firstColumn="1" w:firstRow="1" w:lastColumn="0" w:lastRow="0" w:noHBand="0" w:noVBand="1" w:val="04A0"/>
      </w:tblPr>
      <w:tblGrid>
        <w:gridCol w:w="4320"/>
        <w:gridCol w:w="4320"/>
      </w:tblGrid>
      <w:tr>
        <w:tc>
          <w:tcPr>
            <w:tcW w:type="dxa" w:w="4320"/>
          </w:tcPr>
          <w:p>
            <w:r>
              <w:t>Required Notice Element</w:t>
            </w:r>
          </w:p>
        </w:tc>
        <w:tc>
          <w:tcPr>
            <w:tcW w:type="dxa" w:w="4320"/>
          </w:tcPr>
          <w:p>
            <w:r>
              <w:t>Policy Requirement</w:t>
            </w:r>
          </w:p>
        </w:tc>
      </w:tr>
      <w:tr>
        <w:tc>
          <w:tcPr>
            <w:tcW w:type="dxa" w:w="4320"/>
          </w:tcPr>
          <w:p>
            <w:r>
              <w:t>Identity of the controller</w:t>
            </w:r>
          </w:p>
        </w:tc>
        <w:tc>
          <w:tcPr>
            <w:tcW w:type="dxa" w:w="4320"/>
          </w:tcPr>
          <w:p>
            <w:r>
              <w:t>The notice shall identify [Organisation Name] and provide relevant contact details.</w:t>
            </w:r>
          </w:p>
        </w:tc>
      </w:tr>
      <w:tr>
        <w:tc>
          <w:tcPr>
            <w:tcW w:type="dxa" w:w="4320"/>
          </w:tcPr>
          <w:p>
            <w:r>
              <w:t>Purpose of processing</w:t>
            </w:r>
          </w:p>
        </w:tc>
        <w:tc>
          <w:tcPr>
            <w:tcW w:type="dxa" w:w="4320"/>
          </w:tcPr>
          <w:p>
            <w:r>
              <w:t>The notice shall describe why personal data is collected and used.</w:t>
            </w:r>
          </w:p>
        </w:tc>
      </w:tr>
      <w:tr>
        <w:tc>
          <w:tcPr>
            <w:tcW w:type="dxa" w:w="4320"/>
          </w:tcPr>
          <w:p>
            <w:r>
              <w:t>Categories of personal data</w:t>
            </w:r>
          </w:p>
        </w:tc>
        <w:tc>
          <w:tcPr>
            <w:tcW w:type="dxa" w:w="4320"/>
          </w:tcPr>
          <w:p>
            <w:r>
              <w:t>The notice shall identify the types of personal data processed.</w:t>
            </w:r>
          </w:p>
        </w:tc>
      </w:tr>
      <w:tr>
        <w:tc>
          <w:tcPr>
            <w:tcW w:type="dxa" w:w="4320"/>
          </w:tcPr>
          <w:p>
            <w:r>
              <w:t>Collection method</w:t>
            </w:r>
          </w:p>
        </w:tc>
        <w:tc>
          <w:tcPr>
            <w:tcW w:type="dxa" w:w="4320"/>
          </w:tcPr>
          <w:p>
            <w:r>
              <w:t>The notice shall state whether data is collected directly or from another source.</w:t>
            </w:r>
          </w:p>
        </w:tc>
      </w:tr>
      <w:tr>
        <w:tc>
          <w:tcPr>
            <w:tcW w:type="dxa" w:w="4320"/>
          </w:tcPr>
          <w:p>
            <w:r>
              <w:t>Legal basis</w:t>
            </w:r>
          </w:p>
        </w:tc>
        <w:tc>
          <w:tcPr>
            <w:tcW w:type="dxa" w:w="4320"/>
          </w:tcPr>
          <w:p>
            <w:r>
              <w:t>The notice shall explain the basis relied upon for processing.</w:t>
            </w:r>
          </w:p>
        </w:tc>
      </w:tr>
      <w:tr>
        <w:tc>
          <w:tcPr>
            <w:tcW w:type="dxa" w:w="4320"/>
          </w:tcPr>
          <w:p>
            <w:r>
              <w:t>Recipients</w:t>
            </w:r>
          </w:p>
        </w:tc>
        <w:tc>
          <w:tcPr>
            <w:tcW w:type="dxa" w:w="4320"/>
          </w:tcPr>
          <w:p>
            <w:r>
              <w:t>The notice shall describe categories of recipients or third parties with whom data may be shared.</w:t>
            </w:r>
          </w:p>
        </w:tc>
      </w:tr>
      <w:tr>
        <w:tc>
          <w:tcPr>
            <w:tcW w:type="dxa" w:w="4320"/>
          </w:tcPr>
          <w:p>
            <w:r>
              <w:t>International transfer</w:t>
            </w:r>
          </w:p>
        </w:tc>
        <w:tc>
          <w:tcPr>
            <w:tcW w:type="dxa" w:w="4320"/>
          </w:tcPr>
          <w:p>
            <w:r>
              <w:t>The notice shall state whether personal data may be transferred outside Saudi Arabia.</w:t>
            </w:r>
          </w:p>
        </w:tc>
      </w:tr>
      <w:tr>
        <w:tc>
          <w:tcPr>
            <w:tcW w:type="dxa" w:w="4320"/>
          </w:tcPr>
          <w:p>
            <w:r>
              <w:t>Retention period</w:t>
            </w:r>
          </w:p>
        </w:tc>
        <w:tc>
          <w:tcPr>
            <w:tcW w:type="dxa" w:w="4320"/>
          </w:tcPr>
          <w:p>
            <w:r>
              <w:t>The notice shall describe how long data will be kept or how retention is determined.</w:t>
            </w:r>
          </w:p>
        </w:tc>
      </w:tr>
      <w:tr>
        <w:tc>
          <w:tcPr>
            <w:tcW w:type="dxa" w:w="4320"/>
          </w:tcPr>
          <w:p>
            <w:r>
              <w:t>Data subject rights</w:t>
            </w:r>
          </w:p>
        </w:tc>
        <w:tc>
          <w:tcPr>
            <w:tcW w:type="dxa" w:w="4320"/>
          </w:tcPr>
          <w:p>
            <w:r>
              <w:t>The notice shall explain available rights and how to exercise them.</w:t>
            </w:r>
          </w:p>
        </w:tc>
      </w:tr>
      <w:tr>
        <w:tc>
          <w:tcPr>
            <w:tcW w:type="dxa" w:w="4320"/>
          </w:tcPr>
          <w:p>
            <w:r>
              <w:t>Complaint channel</w:t>
            </w:r>
          </w:p>
        </w:tc>
        <w:tc>
          <w:tcPr>
            <w:tcW w:type="dxa" w:w="4320"/>
          </w:tcPr>
          <w:p>
            <w:r>
              <w:t>The notice shall provide a method to raise concerns or complaints.</w:t>
            </w:r>
          </w:p>
        </w:tc>
      </w:tr>
    </w:tbl>
    <w:p>
      <w:r>
        <w:t>3.4. Privacy notices shall be reviewed whenever there is a material change to processing purposes, data categories, recipients, transfer arrangements, or retention periods.</w:t>
      </w:r>
    </w:p>
    <w:p>
      <w:pPr>
        <w:pStyle w:val="ListBullet"/>
      </w:pPr>
      <w:r>
        <w:t>Collection of Personal Data</w:t>
      </w:r>
    </w:p>
    <w:p>
      <w:r>
        <w:t>4.1. Personal data shall be collected directly from the data subject wherever practical and appropriate.</w:t>
      </w:r>
    </w:p>
    <w:p>
      <w:r>
        <w:t>4.2. Where personal data is collected from another source, [Organisation Name] shall ensure that collection is lawful, necessary, and supported by appropriate transparency measures.</w:t>
      </w:r>
    </w:p>
    <w:p>
      <w:r>
        <w:t>4.3. Personal data shall not be collected by deceptive, misleading, or unlawful means.</w:t>
      </w:r>
    </w:p>
    <w:p>
      <w:r>
        <w:t>4.4. Business units shall not create new forms, applications, portals, surveys, campaigns, or onboarding processes that collect personal data without completing required privacy review steps.</w:t>
      </w:r>
    </w:p>
    <w:p>
      <w:r>
        <w:t>4.5. Mandatory and optional data fields shall be clearly distinguished where practical.</w:t>
      </w:r>
    </w:p>
    <w:p>
      <w:r>
        <w:t>4.6. The organisation shall avoid collecting national identity, financial, health, biometric, children’s, or other sensitive personal data unless clearly necessary and approved.</w:t>
      </w:r>
    </w:p>
    <w:p>
      <w:pPr>
        <w:pStyle w:val="ListBullet"/>
      </w:pPr>
      <w:r>
        <w:t>Use, Access, and Internal Disclosure</w:t>
      </w:r>
    </w:p>
    <w:p>
      <w:r>
        <w:t>5.1. Personal data shall be used only by authorised individuals who require access for an approved business purpose.</w:t>
      </w:r>
    </w:p>
    <w:p>
      <w:r>
        <w:t>5.2. Access to personal data shall be granted based on least privilege and role-based access principles.</w:t>
      </w:r>
    </w:p>
    <w:p>
      <w:r>
        <w:t>5.3. Personal data shall not be accessed, browsed, copied, exported, photographed, downloaded, or shared for personal interest, curiosity, convenience, or any unauthorised purpose.</w:t>
      </w:r>
    </w:p>
    <w:p>
      <w:r>
        <w:t>5.4. Internal disclosure of personal data between departments shall occur only where there is a legitimate business need and the receiving department is authorised to process the data.</w:t>
      </w:r>
    </w:p>
    <w:p>
      <w:r>
        <w:t>5.5. Bulk extraction, reporting, analytics, profiling, or automated decision-making involving personal data shall be subject to privacy review and approval.</w:t>
      </w:r>
    </w:p>
    <w:p>
      <w:r>
        <w:t>5.6. Production personal data shall not be used in development, testing, training, or demonstration environments unless approved safeguards are applied, such as anonymisation, masking, or strong access restrictions.</w:t>
      </w:r>
    </w:p>
    <w:p>
      <w:pPr>
        <w:pStyle w:val="ListBullet"/>
      </w:pPr>
      <w:r>
        <w:t>Sensitive Personal Data</w:t>
      </w:r>
    </w:p>
    <w:p>
      <w:r>
        <w:t>6.1. Sensitive personal data shall be processed only where strictly necessary, lawful, and approved by the relevant business owner and the Data Protection Officer or Privacy Office.</w:t>
      </w:r>
    </w:p>
    <w:p>
      <w:r>
        <w:t>6.2. Processing of sensitive personal data shall be subject to enhanced safeguards, including stricter access controls, encryption where appropriate, monitoring, retention limits, and documented justification.</w:t>
      </w:r>
    </w:p>
    <w:p>
      <w:r>
        <w:t>6.3. Health, biometric, genetic, financial, identity, security status, and children’s data shall not be processed without a documented business need and privacy risk assessment.</w:t>
      </w:r>
    </w:p>
    <w:p>
      <w:r>
        <w:t>6.4. Sensitive personal data shall not be disclosed externally unless authorised by law, required for an approved purpose, or supported by valid consent or another lawful basis.</w:t>
      </w:r>
    </w:p>
    <w:p>
      <w:r>
        <w:t>6.5. Special care shall be applied where processing could result in discrimination, financial harm, reputational harm, denial of services, physical risk, or significant intrusion into private life.</w:t>
      </w:r>
    </w:p>
    <w:p>
      <w:pPr>
        <w:pStyle w:val="ListBullet"/>
      </w:pPr>
      <w:r>
        <w:t>Children’s and Vulnerable Individuals’ Data</w:t>
      </w:r>
    </w:p>
    <w:p>
      <w:r>
        <w:t>7.1. Personal data relating to children or vulnerable individuals shall be processed with heightened care and only where necessary for a lawful and legitimate purpose.</w:t>
      </w:r>
    </w:p>
    <w:p>
      <w:r>
        <w:t>7.2. Where consent is required for processing children’s data, appropriate consent shall be obtained from a parent, guardian, or legally authorised representative where applicable.</w:t>
      </w:r>
    </w:p>
    <w:p>
      <w:r>
        <w:t>7.3. Privacy notices and consent language intended for children or guardians shall be clear, age-appropriate where relevant, and easy to understand.</w:t>
      </w:r>
    </w:p>
    <w:p>
      <w:r>
        <w:t>7.4. Marketing, profiling, behavioural tracking, or automated decisions involving children’s personal data shall require prior privacy review and senior approval.</w:t>
      </w:r>
    </w:p>
    <w:p>
      <w:pPr>
        <w:pStyle w:val="ListBullet"/>
      </w:pPr>
      <w:r>
        <w:t>Consent Management</w:t>
      </w:r>
    </w:p>
    <w:p>
      <w:r>
        <w:t>8.1. Consent shall be obtained before processing personal data where consent is the required or selected legal basis.</w:t>
      </w:r>
    </w:p>
    <w:p>
      <w:r>
        <w:t>8.2. Consent requests shall clearly state the processing purpose, data categories, whether data will be shared, and how consent can be withdrawn.</w:t>
      </w:r>
    </w:p>
    <w:p>
      <w:r>
        <w:t>8.3. Consent shall not be bundled with unrelated terms or obtained through silence, pre-ticked boxes, inactivity, or ambiguous wording.</w:t>
      </w:r>
    </w:p>
    <w:p>
      <w:r>
        <w:t>8.4. Records of consent shall be maintained, including who consented, when consent was obtained, what information was provided, and the method used.</w:t>
      </w:r>
    </w:p>
    <w:p>
      <w:r>
        <w:t>8.5. Withdrawal of consent shall be as easy as giving consent and shall be actioned without undue delay.</w:t>
      </w:r>
    </w:p>
    <w:p>
      <w:r>
        <w:t>8.6. Withdrawal of consent shall not affect processing lawfully carried out before withdrawal, but further processing based on that consent shall stop unless another lawful basis applies.</w:t>
      </w:r>
    </w:p>
    <w:tbl>
      <w:tblPr>
        <w:tblStyle w:val="TableGrid"/>
        <w:tblW w:type="auto" w:w="0"/>
        <w:tblLook w:firstColumn="1" w:firstRow="1" w:lastColumn="0" w:lastRow="0" w:noHBand="0" w:noVBand="1" w:val="04A0"/>
      </w:tblPr>
      <w:tblGrid>
        <w:gridCol w:w="4320"/>
        <w:gridCol w:w="4320"/>
      </w:tblGrid>
      <w:tr>
        <w:tc>
          <w:tcPr>
            <w:tcW w:type="dxa" w:w="4320"/>
          </w:tcPr>
          <w:p>
            <w:r>
              <w:t>Consent Activity</w:t>
            </w:r>
          </w:p>
        </w:tc>
        <w:tc>
          <w:tcPr>
            <w:tcW w:type="dxa" w:w="4320"/>
          </w:tcPr>
          <w:p>
            <w:r>
              <w:t>Minimum Record Required</w:t>
            </w:r>
          </w:p>
        </w:tc>
      </w:tr>
      <w:tr>
        <w:tc>
          <w:tcPr>
            <w:tcW w:type="dxa" w:w="4320"/>
          </w:tcPr>
          <w:p>
            <w:r>
              <w:t>Consent obtained</w:t>
            </w:r>
          </w:p>
        </w:tc>
        <w:tc>
          <w:tcPr>
            <w:tcW w:type="dxa" w:w="4320"/>
          </w:tcPr>
          <w:p>
            <w:r>
              <w:t>Data subject identity, date/time, channel, purpose, notice version, consent wording</w:t>
            </w:r>
          </w:p>
        </w:tc>
      </w:tr>
      <w:tr>
        <w:tc>
          <w:tcPr>
            <w:tcW w:type="dxa" w:w="4320"/>
          </w:tcPr>
          <w:p>
            <w:r>
              <w:t>Consent changed</w:t>
            </w:r>
          </w:p>
        </w:tc>
        <w:tc>
          <w:tcPr>
            <w:tcW w:type="dxa" w:w="4320"/>
          </w:tcPr>
          <w:p>
            <w:r>
              <w:t>Previous preference, new preference, date/time, channel</w:t>
            </w:r>
          </w:p>
        </w:tc>
      </w:tr>
      <w:tr>
        <w:tc>
          <w:tcPr>
            <w:tcW w:type="dxa" w:w="4320"/>
          </w:tcPr>
          <w:p>
            <w:r>
              <w:t>Consent withdrawn</w:t>
            </w:r>
          </w:p>
        </w:tc>
        <w:tc>
          <w:tcPr>
            <w:tcW w:type="dxa" w:w="4320"/>
          </w:tcPr>
          <w:p>
            <w:r>
              <w:t>Withdrawal date/time, affected processing activity, confirmation of action taken</w:t>
            </w:r>
          </w:p>
        </w:tc>
      </w:tr>
      <w:tr>
        <w:tc>
          <w:tcPr>
            <w:tcW w:type="dxa" w:w="4320"/>
          </w:tcPr>
          <w:p>
            <w:r>
              <w:t>Consent evidence requested</w:t>
            </w:r>
          </w:p>
        </w:tc>
        <w:tc>
          <w:tcPr>
            <w:tcW w:type="dxa" w:w="4320"/>
          </w:tcPr>
          <w:p>
            <w:r>
              <w:t>Requestor, evidence provided, date/time, approval where required</w:t>
            </w:r>
          </w:p>
        </w:tc>
      </w:tr>
    </w:tbl>
    <w:p>
      <w:pPr>
        <w:pStyle w:val="ListBullet"/>
      </w:pPr>
      <w:r>
        <w:t>Data Subject Rights</w:t>
      </w:r>
    </w:p>
    <w:p>
      <w:r>
        <w:t>9.1. [Organisation Name] shall enable data subjects to exercise their rights in relation to their personal data.</w:t>
      </w:r>
    </w:p>
    <w:p>
      <w:r>
        <w:t>9.2. Data subjects shall be provided with accessible channels to submit privacy rights requests.</w:t>
      </w:r>
    </w:p>
    <w:p>
      <w:r>
        <w:t>9.3. The organisation shall verify the identity of the requestor before disclosing, correcting, deleting, or otherwise acting on personal data.</w:t>
      </w:r>
    </w:p>
    <w:p>
      <w:r>
        <w:t>9.4. Requests shall be handled within applicable legal timelines and without unnecessary delay.</w:t>
      </w:r>
    </w:p>
    <w:p>
      <w:r>
        <w:t>9.5. The organisation shall provide clear responses to data subjects, including reasons where a request is refused or only partially fulfilled.</w:t>
      </w:r>
    </w:p>
    <w:p>
      <w:r>
        <w:t>9.6. Data subject rights shall include, as applicable:</w:t>
      </w:r>
    </w:p>
    <w:tbl>
      <w:tblPr>
        <w:tblStyle w:val="TableGrid"/>
        <w:tblW w:type="auto" w:w="0"/>
        <w:tblLook w:firstColumn="1" w:firstRow="1" w:lastColumn="0" w:lastRow="0" w:noHBand="0" w:noVBand="1" w:val="04A0"/>
      </w:tblPr>
      <w:tblGrid>
        <w:gridCol w:w="4320"/>
        <w:gridCol w:w="4320"/>
      </w:tblGrid>
      <w:tr>
        <w:tc>
          <w:tcPr>
            <w:tcW w:type="dxa" w:w="4320"/>
          </w:tcPr>
          <w:p>
            <w:r>
              <w:t>Right</w:t>
            </w:r>
          </w:p>
        </w:tc>
        <w:tc>
          <w:tcPr>
            <w:tcW w:type="dxa" w:w="4320"/>
          </w:tcPr>
          <w:p>
            <w:r>
              <w:t>Policy Requirement</w:t>
            </w:r>
          </w:p>
        </w:tc>
      </w:tr>
      <w:tr>
        <w:tc>
          <w:tcPr>
            <w:tcW w:type="dxa" w:w="4320"/>
          </w:tcPr>
          <w:p>
            <w:r>
              <w:t>Right to be informed</w:t>
            </w:r>
          </w:p>
        </w:tc>
        <w:tc>
          <w:tcPr>
            <w:tcW w:type="dxa" w:w="4320"/>
          </w:tcPr>
          <w:p>
            <w:r>
              <w:t>Individuals shall receive clear information about how their personal data is processed.</w:t>
            </w:r>
          </w:p>
        </w:tc>
      </w:tr>
      <w:tr>
        <w:tc>
          <w:tcPr>
            <w:tcW w:type="dxa" w:w="4320"/>
          </w:tcPr>
          <w:p>
            <w:r>
              <w:t>Right of access</w:t>
            </w:r>
          </w:p>
        </w:tc>
        <w:tc>
          <w:tcPr>
            <w:tcW w:type="dxa" w:w="4320"/>
          </w:tcPr>
          <w:p>
            <w:r>
              <w:t>Individuals shall be able to request access to their personal data held by the organisation.</w:t>
            </w:r>
          </w:p>
        </w:tc>
      </w:tr>
      <w:tr>
        <w:tc>
          <w:tcPr>
            <w:tcW w:type="dxa" w:w="4320"/>
          </w:tcPr>
          <w:p>
            <w:r>
              <w:t>Right to obtain a copy</w:t>
            </w:r>
          </w:p>
        </w:tc>
        <w:tc>
          <w:tcPr>
            <w:tcW w:type="dxa" w:w="4320"/>
          </w:tcPr>
          <w:p>
            <w:r>
              <w:t>Individuals shall be able to request a copy of their personal data in an appropriate format where permitted.</w:t>
            </w:r>
          </w:p>
        </w:tc>
      </w:tr>
      <w:tr>
        <w:tc>
          <w:tcPr>
            <w:tcW w:type="dxa" w:w="4320"/>
          </w:tcPr>
          <w:p>
            <w:r>
              <w:t>Right to correction</w:t>
            </w:r>
          </w:p>
        </w:tc>
        <w:tc>
          <w:tcPr>
            <w:tcW w:type="dxa" w:w="4320"/>
          </w:tcPr>
          <w:p>
            <w:r>
              <w:t>Individuals shall be able to request correction, completion, or updating of inaccurate or incomplete data.</w:t>
            </w:r>
          </w:p>
        </w:tc>
      </w:tr>
      <w:tr>
        <w:tc>
          <w:tcPr>
            <w:tcW w:type="dxa" w:w="4320"/>
          </w:tcPr>
          <w:p>
            <w:r>
              <w:t>Right to deletion</w:t>
            </w:r>
          </w:p>
        </w:tc>
        <w:tc>
          <w:tcPr>
            <w:tcW w:type="dxa" w:w="4320"/>
          </w:tcPr>
          <w:p>
            <w:r>
              <w:t>Individuals shall be able to request deletion where retention is no longer lawful or necessary, subject to legal obligations.</w:t>
            </w:r>
          </w:p>
        </w:tc>
      </w:tr>
      <w:tr>
        <w:tc>
          <w:tcPr>
            <w:tcW w:type="dxa" w:w="4320"/>
          </w:tcPr>
          <w:p>
            <w:r>
              <w:t>Right to withdraw consent</w:t>
            </w:r>
          </w:p>
        </w:tc>
        <w:tc>
          <w:tcPr>
            <w:tcW w:type="dxa" w:w="4320"/>
          </w:tcPr>
          <w:p>
            <w:r>
              <w:t>Individuals shall be able to withdraw consent where processing is based on consent.</w:t>
            </w:r>
          </w:p>
        </w:tc>
      </w:tr>
      <w:tr>
        <w:tc>
          <w:tcPr>
            <w:tcW w:type="dxa" w:w="4320"/>
          </w:tcPr>
          <w:p>
            <w:r>
              <w:t>Right to complain</w:t>
            </w:r>
          </w:p>
        </w:tc>
        <w:tc>
          <w:tcPr>
            <w:tcW w:type="dxa" w:w="4320"/>
          </w:tcPr>
          <w:p>
            <w:r>
              <w:t>Individuals shall be able to raise privacy concerns through the organisation’s designated channels.</w:t>
            </w:r>
          </w:p>
        </w:tc>
      </w:tr>
    </w:tbl>
    <w:p>
      <w:r>
        <w:t>9.7. Data subject rights requests shall be recorded in a central register.</w:t>
      </w:r>
    </w:p>
    <w:tbl>
      <w:tblPr>
        <w:tblStyle w:val="TableGrid"/>
        <w:tblW w:type="auto" w:w="0"/>
        <w:tblLook w:firstColumn="1" w:firstRow="1" w:lastColumn="0" w:lastRow="0" w:noHBand="0" w:noVBand="1" w:val="04A0"/>
      </w:tblPr>
      <w:tblGrid>
        <w:gridCol w:w="4320"/>
        <w:gridCol w:w="4320"/>
      </w:tblGrid>
      <w:tr>
        <w:tc>
          <w:tcPr>
            <w:tcW w:type="dxa" w:w="4320"/>
          </w:tcPr>
          <w:p>
            <w:r>
              <w:t>Request Handling Step</w:t>
            </w:r>
          </w:p>
        </w:tc>
        <w:tc>
          <w:tcPr>
            <w:tcW w:type="dxa" w:w="4320"/>
          </w:tcPr>
          <w:p>
            <w:r>
              <w:t>Target Timeline</w:t>
            </w:r>
          </w:p>
        </w:tc>
      </w:tr>
      <w:tr>
        <w:tc>
          <w:tcPr>
            <w:tcW w:type="dxa" w:w="4320"/>
          </w:tcPr>
          <w:p>
            <w:r>
              <w:t>Acknowledge receipt</w:t>
            </w:r>
          </w:p>
        </w:tc>
        <w:tc>
          <w:tcPr>
            <w:tcW w:type="dxa" w:w="4320"/>
          </w:tcPr>
          <w:p>
            <w:r>
              <w:t>Within [5 business days]</w:t>
            </w:r>
          </w:p>
        </w:tc>
      </w:tr>
      <w:tr>
        <w:tc>
          <w:tcPr>
            <w:tcW w:type="dxa" w:w="4320"/>
          </w:tcPr>
          <w:p>
            <w:r>
              <w:t>Verify identity</w:t>
            </w:r>
          </w:p>
        </w:tc>
        <w:tc>
          <w:tcPr>
            <w:tcW w:type="dxa" w:w="4320"/>
          </w:tcPr>
          <w:p>
            <w:r>
              <w:t>Within [10 business days]</w:t>
            </w:r>
          </w:p>
        </w:tc>
      </w:tr>
      <w:tr>
        <w:tc>
          <w:tcPr>
            <w:tcW w:type="dxa" w:w="4320"/>
          </w:tcPr>
          <w:p>
            <w:r>
              <w:t>Assess request and applicable limitations</w:t>
            </w:r>
          </w:p>
        </w:tc>
        <w:tc>
          <w:tcPr>
            <w:tcW w:type="dxa" w:w="4320"/>
          </w:tcPr>
          <w:p>
            <w:r>
              <w:t>Within [15 business days]</w:t>
            </w:r>
          </w:p>
        </w:tc>
      </w:tr>
      <w:tr>
        <w:tc>
          <w:tcPr>
            <w:tcW w:type="dxa" w:w="4320"/>
          </w:tcPr>
          <w:p>
            <w:r>
              <w:t>Complete response</w:t>
            </w:r>
          </w:p>
        </w:tc>
        <w:tc>
          <w:tcPr>
            <w:tcW w:type="dxa" w:w="4320"/>
          </w:tcPr>
          <w:p>
            <w:r>
              <w:t>Within [30 calendar days] unless an approved extension applies</w:t>
            </w:r>
          </w:p>
        </w:tc>
      </w:tr>
      <w:tr>
        <w:tc>
          <w:tcPr>
            <w:tcW w:type="dxa" w:w="4320"/>
          </w:tcPr>
          <w:p>
            <w:r>
              <w:t>Escalate complex or high-risk request</w:t>
            </w:r>
          </w:p>
        </w:tc>
        <w:tc>
          <w:tcPr>
            <w:tcW w:type="dxa" w:w="4320"/>
          </w:tcPr>
          <w:p>
            <w:r>
              <w:t>Immediately upon identification</w:t>
            </w:r>
          </w:p>
        </w:tc>
      </w:tr>
    </w:tbl>
    <w:p>
      <w:pPr>
        <w:pStyle w:val="ListBullet"/>
      </w:pPr>
      <w:r>
        <w:t>Accuracy and Data Quality</w:t>
      </w:r>
    </w:p>
    <w:p>
      <w:r>
        <w:t>10.1. Personal data shall be accurate, complete, and kept up to date where necessary for the processing purpose.</w:t>
      </w:r>
    </w:p>
    <w:p>
      <w:r>
        <w:t>10.2. Business units shall implement reasonable checks to ensure the quality of personal data collected or maintained.</w:t>
      </w:r>
    </w:p>
    <w:p>
      <w:r>
        <w:t>10.3. Inaccurate or outdated personal data shall be corrected, updated, restricted, or deleted as appropriate.</w:t>
      </w:r>
    </w:p>
    <w:p>
      <w:r>
        <w:t>10.4. Where inaccurate personal data has been disclosed to a third party, reasonable steps shall be taken to notify the third party of the correction where appropriate.</w:t>
      </w:r>
    </w:p>
    <w:p>
      <w:pPr>
        <w:pStyle w:val="ListBullet"/>
      </w:pPr>
      <w:r>
        <w:t>Retention and Disposal</w:t>
      </w:r>
    </w:p>
    <w:p>
      <w:r>
        <w:t>11.1. Personal data shall be retained only for as long as necessary to fulfil the approved purpose, meet legal or contractual obligations, resolve disputes, enforce rights, or support legitimate operational needs.</w:t>
      </w:r>
    </w:p>
    <w:p>
      <w:r>
        <w:t>11.2. Retention periods shall be documented in an approved retention schedule.</w:t>
      </w:r>
    </w:p>
    <w:p>
      <w:r>
        <w:t>11.3. Personal data shall not be kept indefinitely “just in case” or for undefined future use.</w:t>
      </w:r>
    </w:p>
    <w:p>
      <w:r>
        <w:t>11.4. Where retention is no longer justified, personal data shall be securely deleted, destroyed, anonymised, or archived in accordance with approved records management requirements.</w:t>
      </w:r>
    </w:p>
    <w:p>
      <w:r>
        <w:t>11.5. Disposal of personal data shall be performed using secure methods appropriate to the format and sensitivity of the data.</w:t>
      </w:r>
    </w:p>
    <w:tbl>
      <w:tblPr>
        <w:tblStyle w:val="TableGrid"/>
        <w:tblW w:type="auto" w:w="0"/>
        <w:tblLook w:firstColumn="1" w:firstRow="1" w:lastColumn="0" w:lastRow="0" w:noHBand="0" w:noVBand="1" w:val="04A0"/>
      </w:tblPr>
      <w:tblGrid>
        <w:gridCol w:w="4320"/>
        <w:gridCol w:w="4320"/>
      </w:tblGrid>
      <w:tr>
        <w:tc>
          <w:tcPr>
            <w:tcW w:type="dxa" w:w="4320"/>
          </w:tcPr>
          <w:p>
            <w:r>
              <w:t>Data Type</w:t>
            </w:r>
          </w:p>
        </w:tc>
        <w:tc>
          <w:tcPr>
            <w:tcW w:type="dxa" w:w="4320"/>
          </w:tcPr>
          <w:p>
            <w:r>
              <w:t>Example Minimum Retention Control</w:t>
            </w:r>
          </w:p>
        </w:tc>
      </w:tr>
      <w:tr>
        <w:tc>
          <w:tcPr>
            <w:tcW w:type="dxa" w:w="4320"/>
          </w:tcPr>
          <w:p>
            <w:r>
              <w:t>Customer account data</w:t>
            </w:r>
          </w:p>
        </w:tc>
        <w:tc>
          <w:tcPr>
            <w:tcW w:type="dxa" w:w="4320"/>
          </w:tcPr>
          <w:p>
            <w:r>
              <w:t>Retain according to contractual, legal, and service requirements, then securely delete or anonymise.</w:t>
            </w:r>
          </w:p>
        </w:tc>
      </w:tr>
      <w:tr>
        <w:tc>
          <w:tcPr>
            <w:tcW w:type="dxa" w:w="4320"/>
          </w:tcPr>
          <w:p>
            <w:r>
              <w:t>Employee records</w:t>
            </w:r>
          </w:p>
        </w:tc>
        <w:tc>
          <w:tcPr>
            <w:tcW w:type="dxa" w:w="4320"/>
          </w:tcPr>
          <w:p>
            <w:r>
              <w:t>Retain according to labour, payroll, tax, and legal requirements, then securely dispose.</w:t>
            </w:r>
          </w:p>
        </w:tc>
      </w:tr>
      <w:tr>
        <w:tc>
          <w:tcPr>
            <w:tcW w:type="dxa" w:w="4320"/>
          </w:tcPr>
          <w:p>
            <w:r>
              <w:t>CCTV footage</w:t>
            </w:r>
          </w:p>
        </w:tc>
        <w:tc>
          <w:tcPr>
            <w:tcW w:type="dxa" w:w="4320"/>
          </w:tcPr>
          <w:p>
            <w:r>
              <w:t>Retain for a limited operational security period unless required for investigation or legal hold.</w:t>
            </w:r>
          </w:p>
        </w:tc>
      </w:tr>
      <w:tr>
        <w:tc>
          <w:tcPr>
            <w:tcW w:type="dxa" w:w="4320"/>
          </w:tcPr>
          <w:p>
            <w:r>
              <w:t>Marketing preferences</w:t>
            </w:r>
          </w:p>
        </w:tc>
        <w:tc>
          <w:tcPr>
            <w:tcW w:type="dxa" w:w="4320"/>
          </w:tcPr>
          <w:p>
            <w:r>
              <w:t>Retain while active and as needed to evidence consent or opt-out status.</w:t>
            </w:r>
          </w:p>
        </w:tc>
      </w:tr>
      <w:tr>
        <w:tc>
          <w:tcPr>
            <w:tcW w:type="dxa" w:w="4320"/>
          </w:tcPr>
          <w:p>
            <w:r>
              <w:t>Incident records</w:t>
            </w:r>
          </w:p>
        </w:tc>
        <w:tc>
          <w:tcPr>
            <w:tcW w:type="dxa" w:w="4320"/>
          </w:tcPr>
          <w:p>
            <w:r>
              <w:t>Retain according to legal, audit, and risk management requirements.</w:t>
            </w:r>
          </w:p>
        </w:tc>
      </w:tr>
      <w:tr>
        <w:tc>
          <w:tcPr>
            <w:tcW w:type="dxa" w:w="4320"/>
          </w:tcPr>
          <w:p>
            <w:r>
              <w:t>Identity documents</w:t>
            </w:r>
          </w:p>
        </w:tc>
        <w:tc>
          <w:tcPr>
            <w:tcW w:type="dxa" w:w="4320"/>
          </w:tcPr>
          <w:p>
            <w:r>
              <w:t>Retain only where required and for the shortest justified period.</w:t>
            </w:r>
          </w:p>
        </w:tc>
      </w:tr>
    </w:tbl>
    <w:p>
      <w:r>
        <w:t>11.6. Legal holds, investigations, audits, or regulatory requirements may suspend normal deletion where formally approved.</w:t>
      </w:r>
    </w:p>
    <w:p>
      <w:pPr>
        <w:pStyle w:val="ListBullet"/>
      </w:pPr>
      <w:r>
        <w:t>Security of Personal Data</w:t>
      </w:r>
    </w:p>
    <w:p>
      <w:r>
        <w:t>12.1. [Organisation Name] shall implement appropriate technical, organisational, and physical security measures to protect personal data against unauthorised access, loss, misuse, alteration, disclosure, destruction, or damage.</w:t>
      </w:r>
    </w:p>
    <w:p>
      <w:r>
        <w:t>12.2. Security measures shall be proportionate to the sensitivity, volume, context, and risk of processing.</w:t>
      </w:r>
    </w:p>
    <w:p>
      <w:r>
        <w:t>12.3. Personal data security controls shall include, as appropriate:</w:t>
      </w:r>
    </w:p>
    <w:p>
      <w:pPr>
        <w:pStyle w:val="ListBullet"/>
      </w:pPr>
      <w:r>
        <w:t>Role-based access controls.</w:t>
      </w:r>
    </w:p>
    <w:p>
      <w:pPr>
        <w:pStyle w:val="ListBullet"/>
      </w:pPr>
      <w:r>
        <w:t>Strong authentication.</w:t>
      </w:r>
    </w:p>
    <w:p>
      <w:pPr>
        <w:pStyle w:val="ListBullet"/>
      </w:pPr>
      <w:r>
        <w:t>Encryption in transit and at rest.</w:t>
      </w:r>
    </w:p>
    <w:p>
      <w:pPr>
        <w:pStyle w:val="ListBullet"/>
      </w:pPr>
      <w:r>
        <w:t>Secure configuration and hardening.</w:t>
      </w:r>
    </w:p>
    <w:p>
      <w:pPr>
        <w:pStyle w:val="ListBullet"/>
      </w:pPr>
      <w:r>
        <w:t>Logging and monitoring.</w:t>
      </w:r>
    </w:p>
    <w:p>
      <w:pPr>
        <w:pStyle w:val="ListBullet"/>
      </w:pPr>
      <w:r>
        <w:t>Data loss prevention.</w:t>
      </w:r>
    </w:p>
    <w:p>
      <w:pPr>
        <w:pStyle w:val="ListBullet"/>
      </w:pPr>
      <w:r>
        <w:t>Backup and recovery controls.</w:t>
      </w:r>
    </w:p>
    <w:p>
      <w:pPr>
        <w:pStyle w:val="ListBullet"/>
      </w:pPr>
      <w:r>
        <w:t>Network segmentation.</w:t>
      </w:r>
    </w:p>
    <w:p>
      <w:pPr>
        <w:pStyle w:val="ListBullet"/>
      </w:pPr>
      <w:r>
        <w:t>Endpoint protection.</w:t>
      </w:r>
    </w:p>
    <w:p>
      <w:pPr>
        <w:pStyle w:val="ListBullet"/>
      </w:pPr>
      <w:r>
        <w:t>Physical access controls.</w:t>
      </w:r>
    </w:p>
    <w:p>
      <w:pPr>
        <w:pStyle w:val="ListBullet"/>
      </w:pPr>
      <w:r>
        <w:t>Secure disposal.</w:t>
      </w:r>
    </w:p>
    <w:p>
      <w:pPr>
        <w:pStyle w:val="ListBullet"/>
      </w:pPr>
      <w:r>
        <w:t>Vulnerability and patch management.</w:t>
      </w:r>
    </w:p>
    <w:p>
      <w:pPr>
        <w:pStyle w:val="ListBullet"/>
      </w:pPr>
      <w:r>
        <w:t>User access reviews.</w:t>
      </w:r>
    </w:p>
    <w:p>
      <w:pPr>
        <w:pStyle w:val="ListBullet"/>
      </w:pPr>
      <w:r>
        <w:t>Privileged access management.</w:t>
      </w:r>
    </w:p>
    <w:p>
      <w:r>
        <w:t>12.4. Personal data shall be transmitted only through approved secure channels.</w:t>
      </w:r>
    </w:p>
    <w:p>
      <w:r>
        <w:t>12.5. Personal data shall not be stored on unauthorised personal devices, removable media, consumer cloud services, personal email accounts, or unmanaged messaging platforms.</w:t>
      </w:r>
    </w:p>
    <w:p>
      <w:r>
        <w:t>12.6. Access to systems containing personal data shall be reviewed periodically and promptly removed when no longer required.</w:t>
      </w:r>
    </w:p>
    <w:p>
      <w:pPr>
        <w:pStyle w:val="ListBullet"/>
      </w:pPr>
      <w:r>
        <w:t>Privacy by Design and Privacy by Default</w:t>
      </w:r>
    </w:p>
    <w:p>
      <w:r>
        <w:t>13.1. Privacy requirements shall be considered at the earliest stage of any new product, service, system, process, vendor engagement, analytics initiative, or business change involving personal data.</w:t>
      </w:r>
    </w:p>
    <w:p>
      <w:r>
        <w:t>13.2. New or changed processing activities shall undergo privacy review before implementation.</w:t>
      </w:r>
    </w:p>
    <w:p>
      <w:r>
        <w:t>13.3. Systems and processes shall be designed to collect the least amount of personal data necessary, restrict access by default, retain data only as needed, and provide appropriate transparency.</w:t>
      </w:r>
    </w:p>
    <w:p>
      <w:r>
        <w:t>13.4. Default settings shall favour privacy protection and shall not expose personal data more broadly than necessary.</w:t>
      </w:r>
    </w:p>
    <w:p>
      <w:r>
        <w:t>13.5. Project teams shall not launch processing activities until required privacy risks, notices, consents, contracts, security controls, and retention requirements are addressed.</w:t>
      </w:r>
    </w:p>
    <w:p>
      <w:pPr>
        <w:pStyle w:val="ListBullet"/>
      </w:pPr>
      <w:r>
        <w:t>Privacy Impact and Risk Assessments</w:t>
      </w:r>
    </w:p>
    <w:p>
      <w:r>
        <w:t>14.1. Privacy risk assessments shall be conducted for processing activities that may create elevated risk to individuals or the organisation.</w:t>
      </w:r>
    </w:p>
    <w:p>
      <w:r>
        <w:t>14.2. A privacy impact assessment shall be required for activities involving, as applicable:</w:t>
      </w:r>
    </w:p>
    <w:p>
      <w:pPr>
        <w:pStyle w:val="ListBullet"/>
      </w:pPr>
      <w:r>
        <w:t>Sensitive personal data.</w:t>
      </w:r>
    </w:p>
    <w:p>
      <w:pPr>
        <w:pStyle w:val="ListBullet"/>
      </w:pPr>
      <w:r>
        <w:t>Children’s data.</w:t>
      </w:r>
    </w:p>
    <w:p>
      <w:pPr>
        <w:pStyle w:val="ListBullet"/>
      </w:pPr>
      <w:r>
        <w:t>Large-scale processing.</w:t>
      </w:r>
    </w:p>
    <w:p>
      <w:pPr>
        <w:pStyle w:val="ListBullet"/>
      </w:pPr>
      <w:r>
        <w:t>Automated decision-making or profiling.</w:t>
      </w:r>
    </w:p>
    <w:p>
      <w:pPr>
        <w:pStyle w:val="ListBullet"/>
      </w:pPr>
      <w:r>
        <w:t>Biometrics, health, genetic, or financial data.</w:t>
      </w:r>
    </w:p>
    <w:p>
      <w:pPr>
        <w:pStyle w:val="ListBullet"/>
      </w:pPr>
      <w:r>
        <w:t>Systematic monitoring or tracking.</w:t>
      </w:r>
    </w:p>
    <w:p>
      <w:pPr>
        <w:pStyle w:val="ListBullet"/>
      </w:pPr>
      <w:r>
        <w:t>New technologies.</w:t>
      </w:r>
    </w:p>
    <w:p>
      <w:pPr>
        <w:pStyle w:val="ListBullet"/>
      </w:pPr>
      <w:r>
        <w:t>Cross-border transfer.</w:t>
      </w:r>
    </w:p>
    <w:p>
      <w:pPr>
        <w:pStyle w:val="ListBullet"/>
      </w:pPr>
      <w:r>
        <w:t>High-volume data sharing.</w:t>
      </w:r>
    </w:p>
    <w:p>
      <w:pPr>
        <w:pStyle w:val="ListBullet"/>
      </w:pPr>
      <w:r>
        <w:t>Processing likely to significantly affect individuals’ rights or interests.</w:t>
      </w:r>
    </w:p>
    <w:p>
      <w:r>
        <w:t>14.3. Privacy impact assessments shall document the processing purpose, data categories, legal basis, data flows, risks, controls, residual risks, and approvals.</w:t>
      </w:r>
    </w:p>
    <w:p>
      <w:r>
        <w:t>14.4. High residual privacy risks shall be escalated to senior management and the Data Protection Officer or Privacy Office before processing begins.</w:t>
      </w:r>
    </w:p>
    <w:p>
      <w:pPr>
        <w:pStyle w:val="ListBullet"/>
      </w:pPr>
      <w:r>
        <w:t>Records of Processing Activities</w:t>
      </w:r>
    </w:p>
    <w:p>
      <w:r>
        <w:t>15.1. [Organisation Name] shall maintain an inventory of personal data processing activities.</w:t>
      </w:r>
    </w:p>
    <w:p>
      <w:r>
        <w:t>15.2. Business owners shall ensure that processing records for their functions are complete, accurate, and updated when changes occur.</w:t>
      </w:r>
    </w:p>
    <w:p>
      <w:r>
        <w:t>15.3. The processing inventory shall include, at a minimum:</w:t>
      </w:r>
    </w:p>
    <w:tbl>
      <w:tblPr>
        <w:tblStyle w:val="TableGrid"/>
        <w:tblW w:type="auto" w:w="0"/>
        <w:tblLook w:firstColumn="1" w:firstRow="1" w:lastColumn="0" w:lastRow="0" w:noHBand="0" w:noVBand="1" w:val="04A0"/>
      </w:tblPr>
      <w:tblGrid>
        <w:gridCol w:w="4320"/>
        <w:gridCol w:w="4320"/>
      </w:tblGrid>
      <w:tr>
        <w:tc>
          <w:tcPr>
            <w:tcW w:type="dxa" w:w="4320"/>
          </w:tcPr>
          <w:p>
            <w:r>
              <w:t>Processing Record Field</w:t>
            </w:r>
          </w:p>
        </w:tc>
        <w:tc>
          <w:tcPr>
            <w:tcW w:type="dxa" w:w="4320"/>
          </w:tcPr>
          <w:p>
            <w:r>
              <w:t>Required Content</w:t>
            </w:r>
          </w:p>
        </w:tc>
      </w:tr>
      <w:tr>
        <w:tc>
          <w:tcPr>
            <w:tcW w:type="dxa" w:w="4320"/>
          </w:tcPr>
          <w:p>
            <w:r>
              <w:t>Business owner</w:t>
            </w:r>
          </w:p>
        </w:tc>
        <w:tc>
          <w:tcPr>
            <w:tcW w:type="dxa" w:w="4320"/>
          </w:tcPr>
          <w:p>
            <w:r>
              <w:t>Accountable function or process owner</w:t>
            </w:r>
          </w:p>
        </w:tc>
      </w:tr>
      <w:tr>
        <w:tc>
          <w:tcPr>
            <w:tcW w:type="dxa" w:w="4320"/>
          </w:tcPr>
          <w:p>
            <w:r>
              <w:t>Processing purpose</w:t>
            </w:r>
          </w:p>
        </w:tc>
        <w:tc>
          <w:tcPr>
            <w:tcW w:type="dxa" w:w="4320"/>
          </w:tcPr>
          <w:p>
            <w:r>
              <w:t>Why personal data is processed</w:t>
            </w:r>
          </w:p>
        </w:tc>
      </w:tr>
      <w:tr>
        <w:tc>
          <w:tcPr>
            <w:tcW w:type="dxa" w:w="4320"/>
          </w:tcPr>
          <w:p>
            <w:r>
              <w:t>Data subject categories</w:t>
            </w:r>
          </w:p>
        </w:tc>
        <w:tc>
          <w:tcPr>
            <w:tcW w:type="dxa" w:w="4320"/>
          </w:tcPr>
          <w:p>
            <w:r>
              <w:t>Whose data is processed</w:t>
            </w:r>
          </w:p>
        </w:tc>
      </w:tr>
      <w:tr>
        <w:tc>
          <w:tcPr>
            <w:tcW w:type="dxa" w:w="4320"/>
          </w:tcPr>
          <w:p>
            <w:r>
              <w:t>Personal data categories</w:t>
            </w:r>
          </w:p>
        </w:tc>
        <w:tc>
          <w:tcPr>
            <w:tcW w:type="dxa" w:w="4320"/>
          </w:tcPr>
          <w:p>
            <w:r>
              <w:t>Types of personal data involved</w:t>
            </w:r>
          </w:p>
        </w:tc>
      </w:tr>
      <w:tr>
        <w:tc>
          <w:tcPr>
            <w:tcW w:type="dxa" w:w="4320"/>
          </w:tcPr>
          <w:p>
            <w:r>
              <w:t>Sensitive data indicator</w:t>
            </w:r>
          </w:p>
        </w:tc>
        <w:tc>
          <w:tcPr>
            <w:tcW w:type="dxa" w:w="4320"/>
          </w:tcPr>
          <w:p>
            <w:r>
              <w:t>Whether sensitive data is processed</w:t>
            </w:r>
          </w:p>
        </w:tc>
      </w:tr>
      <w:tr>
        <w:tc>
          <w:tcPr>
            <w:tcW w:type="dxa" w:w="4320"/>
          </w:tcPr>
          <w:p>
            <w:r>
              <w:t>Source of data</w:t>
            </w:r>
          </w:p>
        </w:tc>
        <w:tc>
          <w:tcPr>
            <w:tcW w:type="dxa" w:w="4320"/>
          </w:tcPr>
          <w:p>
            <w:r>
              <w:t>Direct or third-party source</w:t>
            </w:r>
          </w:p>
        </w:tc>
      </w:tr>
      <w:tr>
        <w:tc>
          <w:tcPr>
            <w:tcW w:type="dxa" w:w="4320"/>
          </w:tcPr>
          <w:p>
            <w:r>
              <w:t>Legal basis</w:t>
            </w:r>
          </w:p>
        </w:tc>
        <w:tc>
          <w:tcPr>
            <w:tcW w:type="dxa" w:w="4320"/>
          </w:tcPr>
          <w:p>
            <w:r>
              <w:t>Basis relied upon for processing</w:t>
            </w:r>
          </w:p>
        </w:tc>
      </w:tr>
      <w:tr>
        <w:tc>
          <w:tcPr>
            <w:tcW w:type="dxa" w:w="4320"/>
          </w:tcPr>
          <w:p>
            <w:r>
              <w:t>Systems and repositories</w:t>
            </w:r>
          </w:p>
        </w:tc>
        <w:tc>
          <w:tcPr>
            <w:tcW w:type="dxa" w:w="4320"/>
          </w:tcPr>
          <w:p>
            <w:r>
              <w:t>Where data is stored or processed</w:t>
            </w:r>
          </w:p>
        </w:tc>
      </w:tr>
      <w:tr>
        <w:tc>
          <w:tcPr>
            <w:tcW w:type="dxa" w:w="4320"/>
          </w:tcPr>
          <w:p>
            <w:r>
              <w:t>Recipients</w:t>
            </w:r>
          </w:p>
        </w:tc>
        <w:tc>
          <w:tcPr>
            <w:tcW w:type="dxa" w:w="4320"/>
          </w:tcPr>
          <w:p>
            <w:r>
              <w:t>Internal and external recipients</w:t>
            </w:r>
          </w:p>
        </w:tc>
      </w:tr>
      <w:tr>
        <w:tc>
          <w:tcPr>
            <w:tcW w:type="dxa" w:w="4320"/>
          </w:tcPr>
          <w:p>
            <w:r>
              <w:t>Processors</w:t>
            </w:r>
          </w:p>
        </w:tc>
        <w:tc>
          <w:tcPr>
            <w:tcW w:type="dxa" w:w="4320"/>
          </w:tcPr>
          <w:p>
            <w:r>
              <w:t>Vendors processing data on behalf of the organisation</w:t>
            </w:r>
          </w:p>
        </w:tc>
      </w:tr>
      <w:tr>
        <w:tc>
          <w:tcPr>
            <w:tcW w:type="dxa" w:w="4320"/>
          </w:tcPr>
          <w:p>
            <w:r>
              <w:t>Transfer locations</w:t>
            </w:r>
          </w:p>
        </w:tc>
        <w:tc>
          <w:tcPr>
            <w:tcW w:type="dxa" w:w="4320"/>
          </w:tcPr>
          <w:p>
            <w:r>
              <w:t>Countries where data is accessed, stored, or transferred</w:t>
            </w:r>
          </w:p>
        </w:tc>
      </w:tr>
      <w:tr>
        <w:tc>
          <w:tcPr>
            <w:tcW w:type="dxa" w:w="4320"/>
          </w:tcPr>
          <w:p>
            <w:r>
              <w:t>Retention period</w:t>
            </w:r>
          </w:p>
        </w:tc>
        <w:tc>
          <w:tcPr>
            <w:tcW w:type="dxa" w:w="4320"/>
          </w:tcPr>
          <w:p>
            <w:r>
              <w:t>Approved retention requirement</w:t>
            </w:r>
          </w:p>
        </w:tc>
      </w:tr>
      <w:tr>
        <w:tc>
          <w:tcPr>
            <w:tcW w:type="dxa" w:w="4320"/>
          </w:tcPr>
          <w:p>
            <w:r>
              <w:t>Security controls</w:t>
            </w:r>
          </w:p>
        </w:tc>
        <w:tc>
          <w:tcPr>
            <w:tcW w:type="dxa" w:w="4320"/>
          </w:tcPr>
          <w:p>
            <w:r>
              <w:t>Key safeguards applied</w:t>
            </w:r>
          </w:p>
        </w:tc>
      </w:tr>
      <w:tr>
        <w:tc>
          <w:tcPr>
            <w:tcW w:type="dxa" w:w="4320"/>
          </w:tcPr>
          <w:p>
            <w:r>
              <w:t>Privacy notice</w:t>
            </w:r>
          </w:p>
        </w:tc>
        <w:tc>
          <w:tcPr>
            <w:tcW w:type="dxa" w:w="4320"/>
          </w:tcPr>
          <w:p>
            <w:r>
              <w:t>Notice or communication used</w:t>
            </w:r>
          </w:p>
        </w:tc>
      </w:tr>
      <w:tr>
        <w:tc>
          <w:tcPr>
            <w:tcW w:type="dxa" w:w="4320"/>
          </w:tcPr>
          <w:p>
            <w:r>
              <w:t>Risk assessment status</w:t>
            </w:r>
          </w:p>
        </w:tc>
        <w:tc>
          <w:tcPr>
            <w:tcW w:type="dxa" w:w="4320"/>
          </w:tcPr>
          <w:p>
            <w:r>
              <w:t>Assessment completed or required</w:t>
            </w:r>
          </w:p>
        </w:tc>
      </w:tr>
    </w:tbl>
    <w:p>
      <w:pPr>
        <w:pStyle w:val="ListBullet"/>
      </w:pPr>
      <w:r>
        <w:t>Third-Party Processing and Data Sharing</w:t>
      </w:r>
    </w:p>
    <w:p>
      <w:r>
        <w:t>16.1. Personal data shall be shared with third parties only where there is a lawful purpose, appropriate approval, and documented safeguards.</w:t>
      </w:r>
    </w:p>
    <w:p>
      <w:r>
        <w:t>16.2. Third parties processing personal data on behalf of [Organisation Name] shall be assessed before engagement and monitored throughout the relationship.</w:t>
      </w:r>
    </w:p>
    <w:p>
      <w:r>
        <w:t>16.3. Contracts with processors shall include data protection obligations appropriate to the processing, including:</w:t>
      </w:r>
    </w:p>
    <w:p>
      <w:pPr>
        <w:pStyle w:val="ListBullet"/>
      </w:pPr>
      <w:r>
        <w:t>Processing only on documented instructions.</w:t>
      </w:r>
    </w:p>
    <w:p>
      <w:pPr>
        <w:pStyle w:val="ListBullet"/>
      </w:pPr>
      <w:r>
        <w:t>Confidentiality obligations.</w:t>
      </w:r>
    </w:p>
    <w:p>
      <w:pPr>
        <w:pStyle w:val="ListBullet"/>
      </w:pPr>
      <w:r>
        <w:t>Security requirements.</w:t>
      </w:r>
    </w:p>
    <w:p>
      <w:pPr>
        <w:pStyle w:val="ListBullet"/>
      </w:pPr>
      <w:r>
        <w:t>Limits on subcontracting.</w:t>
      </w:r>
    </w:p>
    <w:p>
      <w:pPr>
        <w:pStyle w:val="ListBullet"/>
      </w:pPr>
      <w:r>
        <w:t>Assistance with data subject rights.</w:t>
      </w:r>
    </w:p>
    <w:p>
      <w:pPr>
        <w:pStyle w:val="ListBullet"/>
      </w:pPr>
      <w:r>
        <w:t>Breach notification obligations.</w:t>
      </w:r>
    </w:p>
    <w:p>
      <w:pPr>
        <w:pStyle w:val="ListBullet"/>
      </w:pPr>
      <w:r>
        <w:t>Return or deletion of personal data at contract end.</w:t>
      </w:r>
    </w:p>
    <w:p>
      <w:pPr>
        <w:pStyle w:val="ListBullet"/>
      </w:pPr>
      <w:r>
        <w:t>Audit, assurance, and monitoring rights.</w:t>
      </w:r>
    </w:p>
    <w:p>
      <w:pPr>
        <w:pStyle w:val="ListBullet"/>
      </w:pPr>
      <w:r>
        <w:t>Restrictions on international transfers.</w:t>
      </w:r>
    </w:p>
    <w:p>
      <w:pPr>
        <w:pStyle w:val="ListBullet"/>
      </w:pPr>
      <w:r>
        <w:t>Requirements to comply with applicable data protection law.</w:t>
      </w:r>
    </w:p>
    <w:p>
      <w:r>
        <w:t>16.4. Third parties shall not use personal data provided by [Organisation Name] for their own purposes unless authorised by contract, law, and applicable transparency requirements.</w:t>
      </w:r>
    </w:p>
    <w:p>
      <w:r>
        <w:t>16.5. Data sharing with independent controllers shall be governed by appropriate agreements or approved documented arrangements.</w:t>
      </w:r>
    </w:p>
    <w:p>
      <w:r>
        <w:t>16.6. Procurement and vendor onboarding processes shall include privacy and security due diligence for vendors that process personal data.</w:t>
      </w:r>
    </w:p>
    <w:p>
      <w:pPr>
        <w:pStyle w:val="ListBullet"/>
      </w:pPr>
      <w:r>
        <w:t>International Transfers</w:t>
      </w:r>
    </w:p>
    <w:p>
      <w:r>
        <w:t>17.1. Personal data shall not be transferred, stored, accessed, or otherwise processed outside the Kingdom of Saudi Arabia unless the transfer is lawful, necessary, approved, and subject to required safeguards.</w:t>
      </w:r>
    </w:p>
    <w:p>
      <w:r>
        <w:t>17.2. International transfers shall be reviewed by the Data Protection Officer or Privacy Office before execution.</w:t>
      </w:r>
    </w:p>
    <w:p>
      <w:r>
        <w:t>17.3. Transfer assessments shall consider the purpose of transfer, destination country, recipient, data categories, sensitivity, onward transfers, security safeguards, contractual protections, and risks to data subjects.</w:t>
      </w:r>
    </w:p>
    <w:p>
      <w:r>
        <w:t>17.4. International transfers shall be limited to the minimum personal data necessary for the approved purpose.</w:t>
      </w:r>
    </w:p>
    <w:p>
      <w:r>
        <w:t>17.5. Contracts and technical controls shall be used to protect personal data transferred internationally.</w:t>
      </w:r>
    </w:p>
    <w:p>
      <w:r>
        <w:t>17.6. Cloud hosting, remote support, offshore development, global HR systems, international customer support, and multinational analytics platforms shall be treated as international transfers where personal data is accessed or stored outside Saudi Arabia.</w:t>
      </w:r>
    </w:p>
    <w:p>
      <w:r>
        <w:t>17.7. Business units shall not configure systems, integrations, backups, support access, or storage locations in a way that creates an unapproved international transfer.</w:t>
      </w:r>
    </w:p>
    <w:p>
      <w:pPr>
        <w:pStyle w:val="ListBullet"/>
      </w:pPr>
      <w:r>
        <w:t>Personal Data Breach Management</w:t>
      </w:r>
    </w:p>
    <w:p>
      <w:r>
        <w:t>18.1. [Organisation Name] shall maintain a documented process for identifying, reporting, assessing, containing, investigating, and remediating personal data breaches.</w:t>
      </w:r>
    </w:p>
    <w:p>
      <w:r>
        <w:t>18.2. All workforce members shall immediately report suspected or confirmed personal data breaches through approved incident reporting channels.</w:t>
      </w:r>
    </w:p>
    <w:p>
      <w:r>
        <w:t>18.3. Personal data breaches may include:</w:t>
      </w:r>
    </w:p>
    <w:p>
      <w:pPr>
        <w:pStyle w:val="ListBullet"/>
      </w:pPr>
      <w:r>
        <w:t>Email sent to the wrong recipient.</w:t>
      </w:r>
    </w:p>
    <w:p>
      <w:pPr>
        <w:pStyle w:val="ListBullet"/>
      </w:pPr>
      <w:r>
        <w:t>Lost or stolen laptop, mobile device, document, or storage media.</w:t>
      </w:r>
    </w:p>
    <w:p>
      <w:pPr>
        <w:pStyle w:val="ListBullet"/>
      </w:pPr>
      <w:r>
        <w:t>Unauthorised access to a system containing personal data.</w:t>
      </w:r>
    </w:p>
    <w:p>
      <w:pPr>
        <w:pStyle w:val="ListBullet"/>
      </w:pPr>
      <w:r>
        <w:t>Ransomware or malware affecting personal data.</w:t>
      </w:r>
    </w:p>
    <w:p>
      <w:pPr>
        <w:pStyle w:val="ListBullet"/>
      </w:pPr>
      <w:r>
        <w:t>Accidental publication of personal data.</w:t>
      </w:r>
    </w:p>
    <w:p>
      <w:pPr>
        <w:pStyle w:val="ListBullet"/>
      </w:pPr>
      <w:r>
        <w:t>Unauthorised disclosure to a vendor, employee, or external party.</w:t>
      </w:r>
    </w:p>
    <w:p>
      <w:pPr>
        <w:pStyle w:val="ListBullet"/>
      </w:pPr>
      <w:r>
        <w:t>Loss of availability or integrity of personal data.</w:t>
      </w:r>
    </w:p>
    <w:p>
      <w:pPr>
        <w:pStyle w:val="ListBullet"/>
      </w:pPr>
      <w:r>
        <w:t>Misconfigured cloud storage or exposed database.</w:t>
      </w:r>
    </w:p>
    <w:p>
      <w:pPr>
        <w:pStyle w:val="ListBullet"/>
      </w:pPr>
      <w:r>
        <w:t>Unauthorised data extraction or scraping.</w:t>
      </w:r>
    </w:p>
    <w:p>
      <w:r>
        <w:t>18.4. The organisation shall assess whether a breach requires notification to the competent authority, affected individuals, customers, partners, or other stakeholders.</w:t>
      </w:r>
    </w:p>
    <w:p>
      <w:r>
        <w:t>18.5. Notifications shall be made within applicable legal timelines and shall include accurate, clear, and complete information available at the time.</w:t>
      </w:r>
    </w:p>
    <w:p>
      <w:r>
        <w:t>18.6. Breach investigations shall document facts, affected data, root cause, containment actions, risk assessment, notifications, remediation, and lessons learned.</w:t>
      </w:r>
    </w:p>
    <w:tbl>
      <w:tblPr>
        <w:tblStyle w:val="TableGrid"/>
        <w:tblW w:type="auto" w:w="0"/>
        <w:tblLook w:firstColumn="1" w:firstRow="1" w:lastColumn="0" w:lastRow="0" w:noHBand="0" w:noVBand="1" w:val="04A0"/>
      </w:tblPr>
      <w:tblGrid>
        <w:gridCol w:w="4320"/>
        <w:gridCol w:w="4320"/>
      </w:tblGrid>
      <w:tr>
        <w:tc>
          <w:tcPr>
            <w:tcW w:type="dxa" w:w="4320"/>
          </w:tcPr>
          <w:p>
            <w:r>
              <w:t>Breach Activity</w:t>
            </w:r>
          </w:p>
        </w:tc>
        <w:tc>
          <w:tcPr>
            <w:tcW w:type="dxa" w:w="4320"/>
          </w:tcPr>
          <w:p>
            <w:r>
              <w:t>Target Timeline</w:t>
            </w:r>
          </w:p>
        </w:tc>
      </w:tr>
      <w:tr>
        <w:tc>
          <w:tcPr>
            <w:tcW w:type="dxa" w:w="4320"/>
          </w:tcPr>
          <w:p>
            <w:r>
              <w:t>Internal report by employee or contractor</w:t>
            </w:r>
          </w:p>
        </w:tc>
        <w:tc>
          <w:tcPr>
            <w:tcW w:type="dxa" w:w="4320"/>
          </w:tcPr>
          <w:p>
            <w:r>
              <w:t>Immediately upon discovery</w:t>
            </w:r>
          </w:p>
        </w:tc>
      </w:tr>
      <w:tr>
        <w:tc>
          <w:tcPr>
            <w:tcW w:type="dxa" w:w="4320"/>
          </w:tcPr>
          <w:p>
            <w:r>
              <w:t>Initial triage by Security or Privacy team</w:t>
            </w:r>
          </w:p>
        </w:tc>
        <w:tc>
          <w:tcPr>
            <w:tcW w:type="dxa" w:w="4320"/>
          </w:tcPr>
          <w:p>
            <w:r>
              <w:t>Within [24 hours]</w:t>
            </w:r>
          </w:p>
        </w:tc>
      </w:tr>
      <w:tr>
        <w:tc>
          <w:tcPr>
            <w:tcW w:type="dxa" w:w="4320"/>
          </w:tcPr>
          <w:p>
            <w:r>
              <w:t>Containment actions initiated</w:t>
            </w:r>
          </w:p>
        </w:tc>
        <w:tc>
          <w:tcPr>
            <w:tcW w:type="dxa" w:w="4320"/>
          </w:tcPr>
          <w:p>
            <w:r>
              <w:t>As soon as practicable</w:t>
            </w:r>
          </w:p>
        </w:tc>
      </w:tr>
      <w:tr>
        <w:tc>
          <w:tcPr>
            <w:tcW w:type="dxa" w:w="4320"/>
          </w:tcPr>
          <w:p>
            <w:r>
              <w:t>Privacy impact assessment</w:t>
            </w:r>
          </w:p>
        </w:tc>
        <w:tc>
          <w:tcPr>
            <w:tcW w:type="dxa" w:w="4320"/>
          </w:tcPr>
          <w:p>
            <w:r>
              <w:t>Within [48 hours] of triage where personal data is involved</w:t>
            </w:r>
          </w:p>
        </w:tc>
      </w:tr>
      <w:tr>
        <w:tc>
          <w:tcPr>
            <w:tcW w:type="dxa" w:w="4320"/>
          </w:tcPr>
          <w:p>
            <w:r>
              <w:t>Authority notification decision</w:t>
            </w:r>
          </w:p>
        </w:tc>
        <w:tc>
          <w:tcPr>
            <w:tcW w:type="dxa" w:w="4320"/>
          </w:tcPr>
          <w:p>
            <w:r>
              <w:t>Within the required notification window</w:t>
            </w:r>
          </w:p>
        </w:tc>
      </w:tr>
      <w:tr>
        <w:tc>
          <w:tcPr>
            <w:tcW w:type="dxa" w:w="4320"/>
          </w:tcPr>
          <w:p>
            <w:r>
              <w:t>Individual notification decision</w:t>
            </w:r>
          </w:p>
        </w:tc>
        <w:tc>
          <w:tcPr>
            <w:tcW w:type="dxa" w:w="4320"/>
          </w:tcPr>
          <w:p>
            <w:r>
              <w:t>As soon as risk to individuals is understood</w:t>
            </w:r>
          </w:p>
        </w:tc>
      </w:tr>
      <w:tr>
        <w:tc>
          <w:tcPr>
            <w:tcW w:type="dxa" w:w="4320"/>
          </w:tcPr>
          <w:p>
            <w:r>
              <w:t>Post-incident review</w:t>
            </w:r>
          </w:p>
        </w:tc>
        <w:tc>
          <w:tcPr>
            <w:tcW w:type="dxa" w:w="4320"/>
          </w:tcPr>
          <w:p>
            <w:r>
              <w:t>Within [10 business days] after closure</w:t>
            </w:r>
          </w:p>
        </w:tc>
      </w:tr>
    </w:tbl>
    <w:p>
      <w:pPr>
        <w:pStyle w:val="ListBullet"/>
      </w:pPr>
      <w:r>
        <w:t>Marketing, Communications, and Public Disclosure</w:t>
      </w:r>
    </w:p>
    <w:p>
      <w:r>
        <w:t>19.1. Direct marketing using personal data shall be conducted only where lawful, transparent, and supported by valid consent or another approved basis.</w:t>
      </w:r>
    </w:p>
    <w:p>
      <w:r>
        <w:t>19.2. Marketing communications shall include a clear and simple method to opt out or withdraw consent.</w:t>
      </w:r>
    </w:p>
    <w:p>
      <w:r>
        <w:t>19.3. Marketing preference records shall be maintained and respected across relevant systems and channels.</w:t>
      </w:r>
    </w:p>
    <w:p>
      <w:r>
        <w:t>19.4. Personal data shall not be published publicly, including on websites, social media, press releases, directories, or public reports, unless lawful, necessary, approved, and supported by appropriate notice or consent where required.</w:t>
      </w:r>
    </w:p>
    <w:p>
      <w:r>
        <w:t>19.5. Employee photographs, biographies, contact details, customer testimonials, case studies, and event images shall be published only after appropriate review and approval.</w:t>
      </w:r>
    </w:p>
    <w:p>
      <w:pPr>
        <w:pStyle w:val="ListBullet"/>
      </w:pPr>
      <w:r>
        <w:t>Automated Processing, Analytics, and Artificial Intelligence</w:t>
      </w:r>
    </w:p>
    <w:p>
      <w:r>
        <w:t>20.1. Automated processing, profiling, analytics, artificial intelligence, or machine learning involving personal data shall be subject to privacy review before deployment.</w:t>
      </w:r>
    </w:p>
    <w:p>
      <w:r>
        <w:t>20.2. Such processing shall be explainable at an appropriate level, fair, proportionate, and aligned with the stated purpose.</w:t>
      </w:r>
    </w:p>
    <w:p>
      <w:r>
        <w:t>20.3. Personal data used for analytics or model training shall be minimised, anonymised, pseudonymised, or aggregated where practical.</w:t>
      </w:r>
    </w:p>
    <w:p>
      <w:r>
        <w:t>20.4. Automated decisions that may significantly affect individuals shall include appropriate human oversight, safeguards, and channels for review or challenge where applicable.</w:t>
      </w:r>
    </w:p>
    <w:p>
      <w:r>
        <w:t>20.5. Personal data shall not be entered into public or unapproved artificial intelligence tools unless explicitly approved and protected by appropriate contractual, security, and privacy controls.</w:t>
      </w:r>
    </w:p>
    <w:p>
      <w:pPr>
        <w:pStyle w:val="ListBullet"/>
      </w:pPr>
      <w:r>
        <w:t>Anonymisation and Pseudonymisation</w:t>
      </w:r>
    </w:p>
    <w:p>
      <w:r>
        <w:t>21.1. Anonymisation shall be used where business objectives can be achieved without identifiable personal data.</w:t>
      </w:r>
    </w:p>
    <w:p>
      <w:r>
        <w:t>21.2. Anonymised data shall be processed in a manner that prevents re-identification using reasonably available means.</w:t>
      </w:r>
    </w:p>
    <w:p>
      <w:r>
        <w:t>21.3. Pseudonymised data shall remain subject to this Policy where re-identification is possible.</w:t>
      </w:r>
    </w:p>
    <w:p>
      <w:r>
        <w:t>21.4. Re-identification of anonymised or pseudonymised data shall be prohibited unless formally approved for a lawful and necessary purpose.</w:t>
      </w:r>
    </w:p>
    <w:p>
      <w:pPr>
        <w:pStyle w:val="ListBullet"/>
      </w:pPr>
      <w:r>
        <w:t>Employee and HR Personal Data</w:t>
      </w:r>
    </w:p>
    <w:p>
      <w:r>
        <w:t>22.1. Employee and applicant personal data shall be processed only for legitimate employment, recruitment, workforce management, legal, security, payroll, benefits, health and safety, and operational purposes.</w:t>
      </w:r>
    </w:p>
    <w:p>
      <w:r>
        <w:t>22.2. Employee monitoring shall be proportionate, transparent where appropriate, and limited to legitimate business, legal, security, or compliance purposes.</w:t>
      </w:r>
    </w:p>
    <w:p>
      <w:r>
        <w:t>22.3. Access to employee personal data shall be restricted to authorised HR, management, finance, legal, security, and administrative personnel with a genuine need to know.</w:t>
      </w:r>
    </w:p>
    <w:p>
      <w:r>
        <w:t>22.4. Background screening, medical checks, disciplinary records, performance data, and payroll data shall be subject to enhanced confidentiality and access controls.</w:t>
      </w:r>
    </w:p>
    <w:p>
      <w:pPr>
        <w:pStyle w:val="ListBullet"/>
      </w:pPr>
      <w:r>
        <w:t>Training and Awareness</w:t>
      </w:r>
    </w:p>
    <w:p>
      <w:r>
        <w:t>23.1. All employees and contractors shall complete data protection awareness training appropriate to their role.</w:t>
      </w:r>
    </w:p>
    <w:p>
      <w:r>
        <w:t>23.2. Personnel with elevated access to personal data or responsibility for high-risk processing shall receive additional role-based training.</w:t>
      </w:r>
    </w:p>
    <w:p>
      <w:r>
        <w:t>23.3. Training shall cover lawful processing, privacy notices, consent, data subject rights, breach reporting, secure handling, retention, third-party sharing, and international transfer restrictions.</w:t>
      </w:r>
    </w:p>
    <w:p>
      <w:r>
        <w:t>23.4. Training completion shall be tracked and reported to management.</w:t>
      </w:r>
    </w:p>
    <w:p>
      <w:r>
        <w:t>23.5. Failure to complete required training may result in access restrictions or disciplinary action.</w:t>
      </w:r>
    </w:p>
    <w:p>
      <w:pPr>
        <w:pStyle w:val="ListBullet"/>
      </w:pPr>
      <w:r>
        <w:t>Confidentiality</w:t>
      </w:r>
    </w:p>
    <w:p>
      <w:r>
        <w:t>24.1. Workforce members shall protect personal data as confidential information.</w:t>
      </w:r>
    </w:p>
    <w:p>
      <w:r>
        <w:t>24.2. Confidentiality obligations shall continue after employment or engagement with [Organisation Name] ends.</w:t>
      </w:r>
    </w:p>
    <w:p>
      <w:r>
        <w:t>24.3. Personal data shall be discussed, displayed, printed, transported, or stored only in a manner that prevents unauthorised viewing, access, or disclosure.</w:t>
      </w:r>
    </w:p>
    <w:p>
      <w:pPr>
        <w:pStyle w:val="ListBullet"/>
      </w:pPr>
      <w:r>
        <w:t>Documentation and Evidence</w:t>
      </w:r>
    </w:p>
    <w:p>
      <w:r>
        <w:t>25.1. [Organisation Name] shall retain evidence of compliance with this Policy, including approvals, assessments, notices, consent records, contracts, training records, incident records, data subject request logs, transfer assessments, and audit results.</w:t>
      </w:r>
    </w:p>
    <w:p>
      <w:r>
        <w:t>25.2. Evidence shall be accurate, retrievable, protected from unauthorised alteration, and retained according to approved retention requirements.</w:t>
      </w:r>
    </w:p>
    <w:p>
      <w:r>
        <w:t>25.3. Business units shall provide requested data protection evidence to the Data Protection Officer, Privacy Office, Legal, Compliance, Internal Audit, or authorised regulators when required.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 oversight of data protection governance, approve strategic direction, and ensure sufficient resources are available for compliance.</w:t>
            </w:r>
          </w:p>
        </w:tc>
      </w:tr>
      <w:tr>
        <w:tc>
          <w:tcPr>
            <w:tcW w:type="dxa" w:w="4320"/>
          </w:tcPr>
          <w:p>
            <w:r>
              <w:t>Executive Management</w:t>
            </w:r>
          </w:p>
        </w:tc>
        <w:tc>
          <w:tcPr>
            <w:tcW w:type="dxa" w:w="4320"/>
          </w:tcPr>
          <w:p>
            <w:r>
              <w:t>Promote a culture of privacy, ensure business functions comply with this Policy, and resolve escalated privacy risks.</w:t>
            </w:r>
          </w:p>
        </w:tc>
      </w:tr>
      <w:tr>
        <w:tc>
          <w:tcPr>
            <w:tcW w:type="dxa" w:w="4320"/>
          </w:tcPr>
          <w:p>
            <w:r>
              <w:t>Data Protection Officer / Privacy Office</w:t>
            </w:r>
          </w:p>
        </w:tc>
        <w:tc>
          <w:tcPr>
            <w:tcW w:type="dxa" w:w="4320"/>
          </w:tcPr>
          <w:p>
            <w:r>
              <w:t>Maintain this Policy, advise the organisation on data protection obligations, review high-risk processing, oversee rights requests and breach response, maintain privacy registers, and monitor compliance.</w:t>
            </w:r>
          </w:p>
        </w:tc>
      </w:tr>
      <w:tr>
        <w:tc>
          <w:tcPr>
            <w:tcW w:type="dxa" w:w="4320"/>
          </w:tcPr>
          <w:p>
            <w:r>
              <w:t>Legal Department</w:t>
            </w:r>
          </w:p>
        </w:tc>
        <w:tc>
          <w:tcPr>
            <w:tcW w:type="dxa" w:w="4320"/>
          </w:tcPr>
          <w:p>
            <w:r>
              <w:t>Advise on legal basis, notices, contracts, disclosures, regulatory engagement, disputes, and legal holds involving personal data.</w:t>
            </w:r>
          </w:p>
        </w:tc>
      </w:tr>
      <w:tr>
        <w:tc>
          <w:tcPr>
            <w:tcW w:type="dxa" w:w="4320"/>
          </w:tcPr>
          <w:p>
            <w:r>
              <w:t>Information Security</w:t>
            </w:r>
          </w:p>
        </w:tc>
        <w:tc>
          <w:tcPr>
            <w:tcW w:type="dxa" w:w="4320"/>
          </w:tcPr>
          <w:p>
            <w:r>
              <w:t>Implement and monitor technical and organisational security controls protecting personal data, support breach response, and conduct security risk assessments.</w:t>
            </w:r>
          </w:p>
        </w:tc>
      </w:tr>
      <w:tr>
        <w:tc>
          <w:tcPr>
            <w:tcW w:type="dxa" w:w="4320"/>
          </w:tcPr>
          <w:p>
            <w:r>
              <w:t>Compliance / Risk Management</w:t>
            </w:r>
          </w:p>
        </w:tc>
        <w:tc>
          <w:tcPr>
            <w:tcW w:type="dxa" w:w="4320"/>
          </w:tcPr>
          <w:p>
            <w:r>
              <w:t>Support monitoring, risk assessment, regulatory alignment, issue tracking, and reporting.</w:t>
            </w:r>
          </w:p>
        </w:tc>
      </w:tr>
      <w:tr>
        <w:tc>
          <w:tcPr>
            <w:tcW w:type="dxa" w:w="4320"/>
          </w:tcPr>
          <w:p>
            <w:r>
              <w:t>Internal Audit</w:t>
            </w:r>
          </w:p>
        </w:tc>
        <w:tc>
          <w:tcPr>
            <w:tcW w:type="dxa" w:w="4320"/>
          </w:tcPr>
          <w:p>
            <w:r>
              <w:t>Independently assess the effectiveness of data protection governance, controls, and compliance evidence.</w:t>
            </w:r>
          </w:p>
        </w:tc>
      </w:tr>
      <w:tr>
        <w:tc>
          <w:tcPr>
            <w:tcW w:type="dxa" w:w="4320"/>
          </w:tcPr>
          <w:p>
            <w:r>
              <w:t>Records Management</w:t>
            </w:r>
          </w:p>
        </w:tc>
        <w:tc>
          <w:tcPr>
            <w:tcW w:type="dxa" w:w="4320"/>
          </w:tcPr>
          <w:p>
            <w:r>
              <w:t>Maintain retention schedules and ensure secure archival, deletion, destruction, and legal hold practices.</w:t>
            </w:r>
          </w:p>
        </w:tc>
      </w:tr>
      <w:tr>
        <w:tc>
          <w:tcPr>
            <w:tcW w:type="dxa" w:w="4320"/>
          </w:tcPr>
          <w:p>
            <w:r>
              <w:t>Procurement / Vendor Management</w:t>
            </w:r>
          </w:p>
        </w:tc>
        <w:tc>
          <w:tcPr>
            <w:tcW w:type="dxa" w:w="4320"/>
          </w:tcPr>
          <w:p>
            <w:r>
              <w:t>Ensure privacy and security due diligence is performed before engaging vendors that process personal data and that required contractual protections are in place.</w:t>
            </w:r>
          </w:p>
        </w:tc>
      </w:tr>
      <w:tr>
        <w:tc>
          <w:tcPr>
            <w:tcW w:type="dxa" w:w="4320"/>
          </w:tcPr>
          <w:p>
            <w:r>
              <w:t>Human Resources</w:t>
            </w:r>
          </w:p>
        </w:tc>
        <w:tc>
          <w:tcPr>
            <w:tcW w:type="dxa" w:w="4320"/>
          </w:tcPr>
          <w:p>
            <w:r>
              <w:t>Protect employee and applicant personal data, deliver workforce privacy training, and support disciplinary action for violations.</w:t>
            </w:r>
          </w:p>
        </w:tc>
      </w:tr>
      <w:tr>
        <w:tc>
          <w:tcPr>
            <w:tcW w:type="dxa" w:w="4320"/>
          </w:tcPr>
          <w:p>
            <w:r>
              <w:t>Business Owners</w:t>
            </w:r>
          </w:p>
        </w:tc>
        <w:tc>
          <w:tcPr>
            <w:tcW w:type="dxa" w:w="4320"/>
          </w:tcPr>
          <w:p>
            <w:r>
              <w:t>Own processing activities within their functions, maintain accurate processing records, ensure privacy reviews are completed, and implement required controls.</w:t>
            </w:r>
          </w:p>
        </w:tc>
      </w:tr>
      <w:tr>
        <w:tc>
          <w:tcPr>
            <w:tcW w:type="dxa" w:w="4320"/>
          </w:tcPr>
          <w:p>
            <w:r>
              <w:t>System Owners</w:t>
            </w:r>
          </w:p>
        </w:tc>
        <w:tc>
          <w:tcPr>
            <w:tcW w:type="dxa" w:w="4320"/>
          </w:tcPr>
          <w:p>
            <w:r>
              <w:t>Ensure systems processing personal data have approved access, security, logging, retention, backup, and deletion controls.</w:t>
            </w:r>
          </w:p>
        </w:tc>
      </w:tr>
      <w:tr>
        <w:tc>
          <w:tcPr>
            <w:tcW w:type="dxa" w:w="4320"/>
          </w:tcPr>
          <w:p>
            <w:r>
              <w:t>Project Managers / Product Owners</w:t>
            </w:r>
          </w:p>
        </w:tc>
        <w:tc>
          <w:tcPr>
            <w:tcW w:type="dxa" w:w="4320"/>
          </w:tcPr>
          <w:p>
            <w:r>
              <w:t>Embed privacy requirements into new and changed processes, products, services, and technologies before launch.</w:t>
            </w:r>
          </w:p>
        </w:tc>
      </w:tr>
      <w:tr>
        <w:tc>
          <w:tcPr>
            <w:tcW w:type="dxa" w:w="4320"/>
          </w:tcPr>
          <w:p>
            <w:r>
              <w:t>Employees and Contractors</w:t>
            </w:r>
          </w:p>
        </w:tc>
        <w:tc>
          <w:tcPr>
            <w:tcW w:type="dxa" w:w="4320"/>
          </w:tcPr>
          <w:p>
            <w:r>
              <w:t>Process personal data only as authorised, complete training, follow this Policy, protect data from unauthorised disclosure, and immediately report suspected incidents.</w:t>
            </w:r>
          </w:p>
        </w:tc>
      </w:tr>
      <w:tr>
        <w:tc>
          <w:tcPr>
            <w:tcW w:type="dxa" w:w="4320"/>
          </w:tcPr>
          <w:p>
            <w:r>
              <w:t>Third-Party Processors</w:t>
            </w:r>
          </w:p>
        </w:tc>
        <w:tc>
          <w:tcPr>
            <w:tcW w:type="dxa" w:w="4320"/>
          </w:tcPr>
          <w:p>
            <w:r>
              <w:t>Process personal data only as authorised by contract, protect personal data, notify incidents promptly, support rights requests, and comply with agreed data protection obligations.</w:t>
            </w:r>
          </w:p>
        </w:tc>
      </w:tr>
    </w:tbl>
    <w:p>
      <w:pPr>
        <w:pStyle w:val="Heading2"/>
      </w:pPr>
      <w:r>
        <w:t>Compliance, Monitoring &amp; Enforcement</w:t>
      </w:r>
    </w:p>
    <w:p>
      <w:pPr>
        <w:pStyle w:val="ListBullet"/>
      </w:pPr>
      <w:r>
        <w:t>Compliance with this Policy is mandatory for all personnel and applicable third parties.</w:t>
      </w:r>
    </w:p>
    <w:p>
      <w:pPr>
        <w:pStyle w:val="ListBullet"/>
      </w:pPr>
      <w:r>
        <w:t>[Organisation Name] shall monitor compliance through appropriate activities, including:</w:t>
      </w:r>
    </w:p>
    <w:p>
      <w:pPr>
        <w:pStyle w:val="ListBullet"/>
      </w:pPr>
      <w:r>
        <w:t>Privacy reviews.</w:t>
      </w:r>
    </w:p>
    <w:p>
      <w:pPr>
        <w:pStyle w:val="ListBullet"/>
      </w:pPr>
      <w:r>
        <w:t>Processing inventory reviews.</w:t>
      </w:r>
    </w:p>
    <w:p>
      <w:pPr>
        <w:pStyle w:val="ListBullet"/>
      </w:pPr>
      <w:r>
        <w:t>Vendor assessments.</w:t>
      </w:r>
    </w:p>
    <w:p>
      <w:pPr>
        <w:pStyle w:val="ListBullet"/>
      </w:pPr>
      <w:r>
        <w:t>Access reviews.</w:t>
      </w:r>
    </w:p>
    <w:p>
      <w:pPr>
        <w:pStyle w:val="ListBullet"/>
      </w:pPr>
      <w:r>
        <w:t>Security monitoring.</w:t>
      </w:r>
    </w:p>
    <w:p>
      <w:pPr>
        <w:pStyle w:val="ListBullet"/>
      </w:pPr>
      <w:r>
        <w:t>Data subject request quality checks.</w:t>
      </w:r>
    </w:p>
    <w:p>
      <w:pPr>
        <w:pStyle w:val="ListBullet"/>
      </w:pPr>
      <w:r>
        <w:t>Breach response testing.</w:t>
      </w:r>
    </w:p>
    <w:p>
      <w:pPr>
        <w:pStyle w:val="ListBullet"/>
      </w:pPr>
      <w:r>
        <w:t>Training completion tracking.</w:t>
      </w:r>
    </w:p>
    <w:p>
      <w:pPr>
        <w:pStyle w:val="ListBullet"/>
      </w:pPr>
      <w:r>
        <w:t>Internal audits.</w:t>
      </w:r>
    </w:p>
    <w:p>
      <w:pPr>
        <w:pStyle w:val="ListBullet"/>
      </w:pPr>
      <w:r>
        <w:t>Control self-assessments.</w:t>
      </w:r>
    </w:p>
    <w:p>
      <w:pPr>
        <w:pStyle w:val="ListBullet"/>
      </w:pPr>
      <w:r>
        <w:t>Retention and disposal reviews.</w:t>
      </w:r>
    </w:p>
    <w:p>
      <w:pPr>
        <w:pStyle w:val="ListBullet"/>
      </w:pPr>
      <w:r>
        <w:t>International transfer reviews.</w:t>
      </w:r>
    </w:p>
    <w:p>
      <w:pPr>
        <w:pStyle w:val="ListBullet"/>
      </w:pPr>
      <w:r>
        <w:t>The Data Protection Officer or Privacy Office shall report significant data protection risks, incidents, compliance gaps, and remediation status to executive management and other governance forums as appropriate.</w:t>
      </w:r>
    </w:p>
    <w:p>
      <w:pPr>
        <w:pStyle w:val="ListBullet"/>
      </w:pPr>
      <w:r>
        <w:t>Business owners shall remediate identified privacy gaps within agreed timeframes.</w:t>
      </w:r>
    </w:p>
    <w:p>
      <w:pPr>
        <w:pStyle w:val="ListBullet"/>
      </w:pPr>
      <w:r>
        <w:t>Where remediation cannot be completed on time, the business owner shall document the reason, interim controls, risk acceptance request, and revised completion date.</w:t>
      </w:r>
    </w:p>
    <w:p>
      <w:pPr>
        <w:pStyle w:val="ListBullet"/>
      </w:pPr>
      <w:r>
        <w:t>Violations of this Policy may result in disciplinary action up to and including termination of employment or contract, civil or legal action, suspension of system access, vendor remediation, contract termination, and regulatory notification where required.</w:t>
      </w:r>
    </w:p>
    <w:p>
      <w:pPr>
        <w:pStyle w:val="ListBullet"/>
      </w:pPr>
      <w:r>
        <w:t>Examples of violations include:</w:t>
      </w:r>
    </w:p>
    <w:p>
      <w:pPr>
        <w:pStyle w:val="ListBullet"/>
      </w:pPr>
      <w:r>
        <w:t>Accessing personal data without a business need.</w:t>
      </w:r>
    </w:p>
    <w:p>
      <w:pPr>
        <w:pStyle w:val="ListBullet"/>
      </w:pPr>
      <w:r>
        <w:t>Sharing personal data with an unauthorised recipient.</w:t>
      </w:r>
    </w:p>
    <w:p>
      <w:pPr>
        <w:pStyle w:val="ListBullet"/>
      </w:pPr>
      <w:r>
        <w:t>Using personal data for an unapproved purpose.</w:t>
      </w:r>
    </w:p>
    <w:p>
      <w:pPr>
        <w:pStyle w:val="ListBullet"/>
      </w:pPr>
      <w:r>
        <w:t>Ignoring consent or opt-out preferences.</w:t>
      </w:r>
    </w:p>
    <w:p>
      <w:pPr>
        <w:pStyle w:val="ListBullet"/>
      </w:pPr>
      <w:r>
        <w:t>Failing to report a suspected breach.</w:t>
      </w:r>
    </w:p>
    <w:p>
      <w:pPr>
        <w:pStyle w:val="ListBullet"/>
      </w:pPr>
      <w:r>
        <w:t>Storing personal data in unauthorised tools or locations.</w:t>
      </w:r>
    </w:p>
    <w:p>
      <w:pPr>
        <w:pStyle w:val="ListBullet"/>
      </w:pPr>
      <w:r>
        <w:t>Transferring personal data outside Saudi Arabia without approval.</w:t>
      </w:r>
    </w:p>
    <w:p>
      <w:pPr>
        <w:pStyle w:val="ListBullet"/>
      </w:pPr>
      <w:r>
        <w:t>Retaining personal data beyond approved retention periods.</w:t>
      </w:r>
    </w:p>
    <w:p>
      <w:pPr>
        <w:pStyle w:val="ListBullet"/>
      </w:pPr>
      <w:r>
        <w:t>Engaging a processor without privacy review and contract controls.</w:t>
      </w:r>
    </w:p>
    <w:p>
      <w:pPr>
        <w:pStyle w:val="ListBullet"/>
      </w:pPr>
      <w:r>
        <w:t>Circumventing security or privacy controls.</w:t>
      </w:r>
    </w:p>
    <w:p>
      <w:pPr>
        <w:pStyle w:val="ListBullet"/>
      </w:pPr>
      <w:r>
        <w:t>Compliance evidence shall be retained and made available to authorised internal and external reviewers when required.</w:t>
      </w:r>
    </w:p>
    <w:p>
      <w:pPr>
        <w:pStyle w:val="Heading2"/>
      </w:pPr>
      <w:r>
        <w:t>Exceptions</w:t>
      </w:r>
    </w:p>
    <w:p>
      <w:pPr>
        <w:pStyle w:val="ListBullet"/>
      </w:pPr>
      <w:r>
        <w:t>Exceptions to this Policy shall be permitted only where there is a documented business, legal, technical, or operational justification.</w:t>
      </w:r>
    </w:p>
    <w:p>
      <w:pPr>
        <w:pStyle w:val="ListBullet"/>
      </w:pPr>
      <w:r>
        <w:t>Exceptions shall not be used to bypass mandatory legal requirements or create unjustified risk to individuals.</w:t>
      </w:r>
    </w:p>
    <w:p>
      <w:pPr>
        <w:pStyle w:val="ListBullet"/>
      </w:pPr>
      <w:r>
        <w:t>All exception requests shall be submitted to the Data Protection Officer or Privacy Office using the approved exception process.</w:t>
      </w:r>
    </w:p>
    <w:p>
      <w:pPr>
        <w:pStyle w:val="ListBullet"/>
      </w:pPr>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Requestor</w:t>
            </w:r>
          </w:p>
        </w:tc>
        <w:tc>
          <w:tcPr>
            <w:tcW w:type="dxa" w:w="4320"/>
          </w:tcPr>
          <w:p>
            <w:r>
              <w:t>Name, role, department, and contact details</w:t>
            </w:r>
          </w:p>
        </w:tc>
      </w:tr>
      <w:tr>
        <w:tc>
          <w:tcPr>
            <w:tcW w:type="dxa" w:w="4320"/>
          </w:tcPr>
          <w:p>
            <w:r>
              <w:t>Policy requirement affected</w:t>
            </w:r>
          </w:p>
        </w:tc>
        <w:tc>
          <w:tcPr>
            <w:tcW w:type="dxa" w:w="4320"/>
          </w:tcPr>
          <w:p>
            <w:r>
              <w:t>Description of the requirement from which exception is requested</w:t>
            </w:r>
          </w:p>
        </w:tc>
      </w:tr>
      <w:tr>
        <w:tc>
          <w:tcPr>
            <w:tcW w:type="dxa" w:w="4320"/>
          </w:tcPr>
          <w:p>
            <w:r>
              <w:t>Business justification</w:t>
            </w:r>
          </w:p>
        </w:tc>
        <w:tc>
          <w:tcPr>
            <w:tcW w:type="dxa" w:w="4320"/>
          </w:tcPr>
          <w:p>
            <w:r>
              <w:t>Reason the exception is needed</w:t>
            </w:r>
          </w:p>
        </w:tc>
      </w:tr>
      <w:tr>
        <w:tc>
          <w:tcPr>
            <w:tcW w:type="dxa" w:w="4320"/>
          </w:tcPr>
          <w:p>
            <w:r>
              <w:t>Personal data involved</w:t>
            </w:r>
          </w:p>
        </w:tc>
        <w:tc>
          <w:tcPr>
            <w:tcW w:type="dxa" w:w="4320"/>
          </w:tcPr>
          <w:p>
            <w:r>
              <w:t>Categories, volume, sensitivity, and data subjects affected</w:t>
            </w:r>
          </w:p>
        </w:tc>
      </w:tr>
      <w:tr>
        <w:tc>
          <w:tcPr>
            <w:tcW w:type="dxa" w:w="4320"/>
          </w:tcPr>
          <w:p>
            <w:r>
              <w:t>Risk assessment</w:t>
            </w:r>
          </w:p>
        </w:tc>
        <w:tc>
          <w:tcPr>
            <w:tcW w:type="dxa" w:w="4320"/>
          </w:tcPr>
          <w:p>
            <w:r>
              <w:t>Potential impact to individuals and the organisation</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Requested start date and end date</w:t>
            </w:r>
          </w:p>
        </w:tc>
      </w:tr>
      <w:tr>
        <w:tc>
          <w:tcPr>
            <w:tcW w:type="dxa" w:w="4320"/>
          </w:tcPr>
          <w:p>
            <w:r>
              <w:t>Approvals</w:t>
            </w:r>
          </w:p>
        </w:tc>
        <w:tc>
          <w:tcPr>
            <w:tcW w:type="dxa" w:w="4320"/>
          </w:tcPr>
          <w:p>
            <w:r>
              <w:t>Business owner, Data Protection Officer or Privacy Office, Information Security where applicable, and senior management where required</w:t>
            </w:r>
          </w:p>
        </w:tc>
      </w:tr>
    </w:tbl>
    <w:p>
      <w:pPr>
        <w:pStyle w:val="ListBullet"/>
      </w:pPr>
      <w:r>
        <w:t>Approved exceptions shall be time-bound, risk-assessed, documented, and reviewed periodically.</w:t>
      </w:r>
    </w:p>
    <w:p>
      <w:pPr>
        <w:pStyle w:val="ListBullet"/>
      </w:pPr>
      <w:r>
        <w:t>Exceptions involving high-risk processing, sensitive personal data, international transfers, or breach notification obligations shall require senior management approval.</w:t>
      </w:r>
    </w:p>
    <w:p>
      <w:pPr>
        <w:pStyle w:val="ListBullet"/>
      </w:pPr>
      <w:r>
        <w:t>Expired exceptions shall be treated as non-compliance unless renewed through the approved process.</w:t>
      </w:r>
    </w:p>
    <w:p>
      <w:pPr>
        <w:pStyle w:val="Heading2"/>
      </w:pPr>
      <w:r>
        <w:t>Review &amp; Maintenance</w:t>
      </w:r>
    </w:p>
    <w:p>
      <w:pPr>
        <w:pStyle w:val="ListBullet"/>
      </w:pPr>
      <w:r>
        <w:t>This Policy shall be reviewed at least annually and whenever significant changes occur in legal requirements, regulatory guidance, business operations, technology, risk profile, processing activities, or organisational structure.</w:t>
      </w:r>
    </w:p>
    <w:p>
      <w:pPr>
        <w:pStyle w:val="ListBullet"/>
      </w:pPr>
      <w:r>
        <w:t>The Data Protection Officer or Privacy Office is responsible for coordinating review and maintenance of this Policy.</w:t>
      </w:r>
    </w:p>
    <w:p>
      <w:pPr>
        <w:pStyle w:val="ListBullet"/>
      </w:pPr>
      <w:r>
        <w:t>Policy updates shall be reviewed by relevant stakeholders, including Legal, Information Security, Compliance, Risk Management, Human Resources, Procurement, Records Management, and affected business units.</w:t>
      </w:r>
    </w:p>
    <w:p>
      <w:pPr>
        <w:pStyle w:val="ListBullet"/>
      </w:pPr>
      <w:r>
        <w:t>Material changes to this Policy shall be approved by [Approving Authority].</w:t>
      </w:r>
    </w:p>
    <w:p>
      <w:pPr>
        <w:pStyle w:val="ListBullet"/>
      </w:pPr>
      <w:r>
        <w:t>The current approved version of this Policy shall be published in [Policy Repository / Intranet Location].</w:t>
      </w:r>
    </w:p>
    <w:p>
      <w:pPr>
        <w:pStyle w:val="ListBullet"/>
      </w:pPr>
      <w:r>
        <w:t>Superseded versions shall be retained according to document control and records management requirements.</w:t>
      </w:r>
    </w:p>
    <w:p>
      <w:pPr>
        <w:pStyle w:val="ListBullet"/>
      </w:pPr>
      <w:r>
        <w:t>Business units shall update related procedures, notices, forms, contracts, training, and system controls following changes to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