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Architecture Type Determination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[POL-SWIFT-ARCH-001]</w:t>
            </w:r>
          </w:p>
        </w:tc>
        <w:tc>
          <w:tcPr>
            <w:tcW w:type="dxa" w:w="1440"/>
          </w:tcPr>
          <w:p>
            <w:r>
              <w:t>1.0</w:t>
            </w:r>
          </w:p>
        </w:tc>
        <w:tc>
          <w:tcPr>
            <w:tcW w:type="dxa" w:w="1440"/>
          </w:tcPr>
          <w:p>
            <w:r>
              <w:t>[CISO / SWIFT Security Officer]</w:t>
            </w:r>
          </w:p>
        </w:tc>
        <w:tc>
          <w:tcPr>
            <w:tcW w:type="dxa" w:w="1440"/>
          </w:tcPr>
          <w:p>
            <w:r>
              <w:t>[YYYY-MM-DD]</w:t>
            </w:r>
          </w:p>
        </w:tc>
        <w:tc>
          <w:tcPr>
            <w:tcW w:type="dxa" w:w="1440"/>
          </w:tcPr>
          <w:p>
            <w:r>
              <w:t>SWIFT Customer Security Controls Framework</w:t>
            </w:r>
          </w:p>
        </w:tc>
        <w:tc>
          <w:tcPr>
            <w:tcW w:type="dxa" w:w="1440"/>
          </w:tcPr>
          <w:p>
            <w:r>
              <w:t>Internal</w:t>
            </w:r>
          </w:p>
        </w:tc>
      </w:tr>
    </w:tbl>
    <w:p>
      <w:pPr>
        <w:pStyle w:val="Heading2"/>
      </w:pPr>
      <w:r>
        <w:t>Purpose</w:t>
      </w:r>
    </w:p>
    <w:p>
      <w:r>
        <w:t>This policy establishes the mandatory requirements for determining, documenting, approving, and maintaining the organisation’s SWIFT architecture type. Correct architecture type determination is required to ensure that all SWIFT-related systems, interfaces, networks, users, service providers, and security controls are identified and managed appropriately.</w:t>
      </w:r>
    </w:p>
    <w:p>
      <w:r>
        <w:t>The organisation shall determine and document whether each SWIFT environment is classified as architecture type A1, A2, A3, A4, or B, based on the technical design and operational use of SWIFT messaging services. The determination shall be sufficiently evidenced to support internal governance, external assurance, independent assessment, and ongoing control implementation.</w:t>
      </w:r>
    </w:p>
    <w:p>
      <w:pPr>
        <w:pStyle w:val="Heading2"/>
      </w:pPr>
      <w:r>
        <w:t>Scope</w:t>
      </w:r>
    </w:p>
    <w:p>
      <w:r>
        <w:t>This policy applies to all environments, platforms, services, systems, infrastructure, applications, users, processes, and third parties that support, connect to, host, administer, or exchange messages through SWIFT services on behalf of the organisation.</w:t>
      </w:r>
    </w:p>
    <w:p>
      <w:r>
        <w:t>This policy applies to:</w:t>
      </w:r>
    </w:p>
    <w:p>
      <w:pPr>
        <w:pStyle w:val="ListBullet"/>
      </w:pPr>
      <w:r>
        <w:t>SWIFT messaging interfaces and connectivity components.</w:t>
      </w:r>
    </w:p>
    <w:p>
      <w:pPr>
        <w:pStyle w:val="ListBullet"/>
      </w:pPr>
      <w:r>
        <w:t>SWIFT-related application servers, middleware, databases, gateways, operator workstations, and administrative workstations.</w:t>
      </w:r>
    </w:p>
    <w:p>
      <w:pPr>
        <w:pStyle w:val="ListBullet"/>
      </w:pPr>
      <w:r>
        <w:t>Systems that create, modify, approve, transmit, receive, store, or process SWIFT messages or related payment instructions.</w:t>
      </w:r>
    </w:p>
    <w:p>
      <w:pPr>
        <w:pStyle w:val="ListBullet"/>
      </w:pPr>
      <w:r>
        <w:t>Manual, semi-automated, and fully automated SWIFT message workflows.</w:t>
      </w:r>
    </w:p>
    <w:p>
      <w:pPr>
        <w:pStyle w:val="ListBullet"/>
      </w:pPr>
      <w:r>
        <w:t>On-premises, hosted, outsourced, cloud, and service bureau arrangements.</w:t>
      </w:r>
    </w:p>
    <w:p>
      <w:pPr>
        <w:pStyle w:val="ListBullet"/>
      </w:pPr>
      <w:r>
        <w:t>Production, disaster recovery, backup, test, development, and support environments where SWIFT-related connectivity or data is present.</w:t>
      </w:r>
    </w:p>
    <w:p>
      <w:pPr>
        <w:pStyle w:val="ListBullet"/>
      </w:pPr>
      <w:r>
        <w:t>Third parties that provide SWIFT connectivity, operations, hosting, maintenance, administration, monitoring, security, or support services.</w:t>
      </w:r>
    </w:p>
    <w:p>
      <w:pPr>
        <w:pStyle w:val="ListBullet"/>
      </w:pPr>
      <w:r>
        <w:t>Changes to architecture, connectivity, message flows, hosting, administration, or outsourcing that may affect the applicable architecture type.</w:t>
      </w:r>
    </w:p>
    <w:p>
      <w:r>
        <w:t>This policy does not replace detailed SWIFT security standards, technical build standards, operational procedures, or third-party risk management requirements. Those documents shall align with the architecture type determined under this policy.</w:t>
      </w:r>
    </w:p>
    <w:p>
      <w:pPr>
        <w:pStyle w:val="Heading2"/>
      </w:pPr>
      <w:r>
        <w:t>Policy Statements</w:t>
      </w:r>
    </w:p>
    <w:p>
      <w:pPr>
        <w:pStyle w:val="ListBullet"/>
      </w:pPr>
      <w:r>
        <w:t>The organisation shall maintain a documented SWIFT architecture type determination for each SWIFT environment, including production, disaster recovery, and any non-production environment that connects to SWIFT services or handles SWIFT message data.</w:t>
      </w:r>
    </w:p>
    <w:p>
      <w:pPr>
        <w:pStyle w:val="ListBullet"/>
      </w:pPr>
      <w:r>
        <w:t>The organisation shall classify each SWIFT environment as one of the following architecture types: A1, A2, A3, A4, or B.</w:t>
      </w:r>
    </w:p>
    <w:p>
      <w:pPr>
        <w:pStyle w:val="ListBullet"/>
      </w:pPr>
      <w:r>
        <w:t>The organisation shall determine the architecture type based on the actual implemented architecture, not solely on contractual descriptions, vendor product names, historical classifications, or management assumptions.</w:t>
      </w:r>
    </w:p>
    <w:p>
      <w:pPr>
        <w:pStyle w:val="ListBullet"/>
      </w:pPr>
      <w:r>
        <w:t>The organisation shall use the following criteria when determining the applicable architecture type:</w:t>
      </w:r>
    </w:p>
    <w:tbl>
      <w:tblPr>
        <w:tblStyle w:val="TableGrid"/>
        <w:tblW w:type="auto" w:w="0"/>
        <w:tblLook w:firstColumn="1" w:firstRow="1" w:lastColumn="0" w:lastRow="0" w:noHBand="0" w:noVBand="1" w:val="04A0"/>
      </w:tblPr>
      <w:tblGrid>
        <w:gridCol w:w="4320"/>
        <w:gridCol w:w="4320"/>
      </w:tblGrid>
      <w:tr>
        <w:tc>
          <w:tcPr>
            <w:tcW w:type="dxa" w:w="4320"/>
          </w:tcPr>
          <w:p>
            <w:r>
              <w:t>Architecture Type</w:t>
            </w:r>
          </w:p>
        </w:tc>
        <w:tc>
          <w:tcPr>
            <w:tcW w:type="dxa" w:w="4320"/>
          </w:tcPr>
          <w:p>
            <w:r>
              <w:t>Mandatory Determination Criteria</w:t>
            </w:r>
          </w:p>
        </w:tc>
      </w:tr>
      <w:tr>
        <w:tc>
          <w:tcPr>
            <w:tcW w:type="dxa" w:w="4320"/>
          </w:tcPr>
          <w:p>
            <w:r>
              <w:t>A1</w:t>
            </w:r>
          </w:p>
        </w:tc>
        <w:tc>
          <w:tcPr>
            <w:tcW w:type="dxa" w:w="4320"/>
          </w:tcPr>
          <w:p>
            <w:r>
              <w:t>The organisation uses its own SWIFT interface or messaging application within its own operating environment, and SWIFT message creation, processing, approval, or transmission capabilities are hosted or operated by the organisation or under its direct technical control.</w:t>
            </w:r>
          </w:p>
        </w:tc>
      </w:tr>
      <w:tr>
        <w:tc>
          <w:tcPr>
            <w:tcW w:type="dxa" w:w="4320"/>
          </w:tcPr>
          <w:p>
            <w:r>
              <w:t>A2</w:t>
            </w:r>
          </w:p>
        </w:tc>
        <w:tc>
          <w:tcPr>
            <w:tcW w:type="dxa" w:w="4320"/>
          </w:tcPr>
          <w:p>
            <w:r>
              <w:t>The organisation uses a SWIFT interface or messaging application where some components or operating responsibilities are provided by a third party, but the organisation retains direct access to SWIFT messaging functionality or infrastructure requiring protection within its environment.</w:t>
            </w:r>
          </w:p>
        </w:tc>
      </w:tr>
      <w:tr>
        <w:tc>
          <w:tcPr>
            <w:tcW w:type="dxa" w:w="4320"/>
          </w:tcPr>
          <w:p>
            <w:r>
              <w:t>A3</w:t>
            </w:r>
          </w:p>
        </w:tc>
        <w:tc>
          <w:tcPr>
            <w:tcW w:type="dxa" w:w="4320"/>
          </w:tcPr>
          <w:p>
            <w:r>
              <w:t>The organisation uses a connector, middleware, or application integration arrangement where SWIFT messaging is initiated or processed through locally managed components, while some SWIFT connectivity or messaging services may be provided externally.</w:t>
            </w:r>
          </w:p>
        </w:tc>
      </w:tr>
      <w:tr>
        <w:tc>
          <w:tcPr>
            <w:tcW w:type="dxa" w:w="4320"/>
          </w:tcPr>
          <w:p>
            <w:r>
              <w:t>A4</w:t>
            </w:r>
          </w:p>
        </w:tc>
        <w:tc>
          <w:tcPr>
            <w:tcW w:type="dxa" w:w="4320"/>
          </w:tcPr>
          <w:p>
            <w:r>
              <w:t>The organisation uses an externally hosted or outsourced SWIFT interface or messaging service, but retains local infrastructure, applications, user access, credentials, message initiation, message approval, or administrative activities relevant to SWIFT operations.</w:t>
            </w:r>
          </w:p>
        </w:tc>
      </w:tr>
      <w:tr>
        <w:tc>
          <w:tcPr>
            <w:tcW w:type="dxa" w:w="4320"/>
          </w:tcPr>
          <w:p>
            <w:r>
              <w:t>B</w:t>
            </w:r>
          </w:p>
        </w:tc>
        <w:tc>
          <w:tcPr>
            <w:tcW w:type="dxa" w:w="4320"/>
          </w:tcPr>
          <w:p>
            <w:r>
              <w:t>The organisation does not host or operate a SWIFT interface or connectivity infrastructure within its environment and uses a third-party service provider to perform SWIFT connectivity or messaging services, while the organisation may still initiate, approve, or provide instructions to the provider through agreed channels.</w:t>
            </w:r>
          </w:p>
        </w:tc>
      </w:tr>
    </w:tbl>
    <w:p>
      <w:pPr>
        <w:pStyle w:val="ListBullet"/>
      </w:pPr>
      <w:r>
        <w:t>The organisation shall document the rationale for the selected architecture type, including the systems, data flows, user activities, administration points, connectivity model, hosting model, and third-party dependencies considered in the determination.</w:t>
      </w:r>
    </w:p>
    <w:p>
      <w:pPr>
        <w:pStyle w:val="ListBullet"/>
      </w:pPr>
      <w:r>
        <w:t>The organisation shall not select a lower-risk architecture type for convenience, control reduction, audit simplification, or because a third party performs some SWIFT-related activities.</w:t>
      </w:r>
    </w:p>
    <w:p>
      <w:pPr>
        <w:pStyle w:val="ListBullet"/>
      </w:pPr>
      <w:r>
        <w:t>Where uncertainty exists between two or more architecture types, the organisation shall apply the more conservative classification until the SWIFT Security Officer, Technology Owner, and independent assurance function agree on the appropriate determination.</w:t>
      </w:r>
    </w:p>
    <w:p>
      <w:pPr>
        <w:pStyle w:val="ListBullet"/>
      </w:pPr>
      <w:r>
        <w:t>The organisation shall maintain an approved SWIFT architecture record containing,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Environment name</w:t>
            </w:r>
          </w:p>
        </w:tc>
        <w:tc>
          <w:tcPr>
            <w:tcW w:type="dxa" w:w="4320"/>
          </w:tcPr>
          <w:p>
            <w:r>
              <w:t>Name of the SWIFT environment, such as production, disaster recovery, test, or support.</w:t>
            </w:r>
          </w:p>
        </w:tc>
      </w:tr>
      <w:tr>
        <w:tc>
          <w:tcPr>
            <w:tcW w:type="dxa" w:w="4320"/>
          </w:tcPr>
          <w:p>
            <w:r>
              <w:t>Architecture type</w:t>
            </w:r>
          </w:p>
        </w:tc>
        <w:tc>
          <w:tcPr>
            <w:tcW w:type="dxa" w:w="4320"/>
          </w:tcPr>
          <w:p>
            <w:r>
              <w:t>Selected type: A1, A2, A3, A4, or B.</w:t>
            </w:r>
          </w:p>
        </w:tc>
      </w:tr>
      <w:tr>
        <w:tc>
          <w:tcPr>
            <w:tcW w:type="dxa" w:w="4320"/>
          </w:tcPr>
          <w:p>
            <w:r>
              <w:t>Business purpose</w:t>
            </w:r>
          </w:p>
        </w:tc>
        <w:tc>
          <w:tcPr>
            <w:tcW w:type="dxa" w:w="4320"/>
          </w:tcPr>
          <w:p>
            <w:r>
              <w:t>Business function supported by the environment.</w:t>
            </w:r>
          </w:p>
        </w:tc>
      </w:tr>
      <w:tr>
        <w:tc>
          <w:tcPr>
            <w:tcW w:type="dxa" w:w="4320"/>
          </w:tcPr>
          <w:p>
            <w:r>
              <w:t>SWIFT services used</w:t>
            </w:r>
          </w:p>
        </w:tc>
        <w:tc>
          <w:tcPr>
            <w:tcW w:type="dxa" w:w="4320"/>
          </w:tcPr>
          <w:p>
            <w:r>
              <w:t>SWIFT messaging or connectivity services used by the organisation.</w:t>
            </w:r>
          </w:p>
        </w:tc>
      </w:tr>
      <w:tr>
        <w:tc>
          <w:tcPr>
            <w:tcW w:type="dxa" w:w="4320"/>
          </w:tcPr>
          <w:p>
            <w:r>
              <w:t>Hosting model</w:t>
            </w:r>
          </w:p>
        </w:tc>
        <w:tc>
          <w:tcPr>
            <w:tcW w:type="dxa" w:w="4320"/>
          </w:tcPr>
          <w:p>
            <w:r>
              <w:t>On-premises, hosted, outsourced, cloud, service bureau, or hybrid model.</w:t>
            </w:r>
          </w:p>
        </w:tc>
      </w:tr>
      <w:tr>
        <w:tc>
          <w:tcPr>
            <w:tcW w:type="dxa" w:w="4320"/>
          </w:tcPr>
          <w:p>
            <w:r>
              <w:t>Key components</w:t>
            </w:r>
          </w:p>
        </w:tc>
        <w:tc>
          <w:tcPr>
            <w:tcW w:type="dxa" w:w="4320"/>
          </w:tcPr>
          <w:p>
            <w:r>
              <w:t>SWIFT interfaces, gateways, middleware, databases, operator workstations, administrative systems, security tools, and supporting infrastructure.</w:t>
            </w:r>
          </w:p>
        </w:tc>
      </w:tr>
      <w:tr>
        <w:tc>
          <w:tcPr>
            <w:tcW w:type="dxa" w:w="4320"/>
          </w:tcPr>
          <w:p>
            <w:r>
              <w:t>Message flows</w:t>
            </w:r>
          </w:p>
        </w:tc>
        <w:tc>
          <w:tcPr>
            <w:tcW w:type="dxa" w:w="4320"/>
          </w:tcPr>
          <w:p>
            <w:r>
              <w:t>How SWIFT messages are created, approved, transmitted, received, stored, and reconciled.</w:t>
            </w:r>
          </w:p>
        </w:tc>
      </w:tr>
      <w:tr>
        <w:tc>
          <w:tcPr>
            <w:tcW w:type="dxa" w:w="4320"/>
          </w:tcPr>
          <w:p>
            <w:r>
              <w:t>User groups</w:t>
            </w:r>
          </w:p>
        </w:tc>
        <w:tc>
          <w:tcPr>
            <w:tcW w:type="dxa" w:w="4320"/>
          </w:tcPr>
          <w:p>
            <w:r>
              <w:t>Business users, operators, approvers, administrators, support teams, and third-party users with SWIFT-related access.</w:t>
            </w:r>
          </w:p>
        </w:tc>
      </w:tr>
      <w:tr>
        <w:tc>
          <w:tcPr>
            <w:tcW w:type="dxa" w:w="4320"/>
          </w:tcPr>
          <w:p>
            <w:r>
              <w:t>Privileged access points</w:t>
            </w:r>
          </w:p>
        </w:tc>
        <w:tc>
          <w:tcPr>
            <w:tcW w:type="dxa" w:w="4320"/>
          </w:tcPr>
          <w:p>
            <w:r>
              <w:t>Administrative consoles, service accounts, remote access methods, privileged workstations, and third-party support access.</w:t>
            </w:r>
          </w:p>
        </w:tc>
      </w:tr>
      <w:tr>
        <w:tc>
          <w:tcPr>
            <w:tcW w:type="dxa" w:w="4320"/>
          </w:tcPr>
          <w:p>
            <w:r>
              <w:t>Third-party dependencies</w:t>
            </w:r>
          </w:p>
        </w:tc>
        <w:tc>
          <w:tcPr>
            <w:tcW w:type="dxa" w:w="4320"/>
          </w:tcPr>
          <w:p>
            <w:r>
              <w:t>Service bureaus, hosting providers, managed service providers, vendors, cloud providers, and support organisations involved in SWIFT operations.</w:t>
            </w:r>
          </w:p>
        </w:tc>
      </w:tr>
      <w:tr>
        <w:tc>
          <w:tcPr>
            <w:tcW w:type="dxa" w:w="4320"/>
          </w:tcPr>
          <w:p>
            <w:r>
              <w:t>Network boundaries</w:t>
            </w:r>
          </w:p>
        </w:tc>
        <w:tc>
          <w:tcPr>
            <w:tcW w:type="dxa" w:w="4320"/>
          </w:tcPr>
          <w:p>
            <w:r>
              <w:t>Segmentation zones, connectivity paths, remote access paths, and interfaces with enterprise systems.</w:t>
            </w:r>
          </w:p>
        </w:tc>
      </w:tr>
      <w:tr>
        <w:tc>
          <w:tcPr>
            <w:tcW w:type="dxa" w:w="4320"/>
          </w:tcPr>
          <w:p>
            <w:r>
              <w:t>Data locations</w:t>
            </w:r>
          </w:p>
        </w:tc>
        <w:tc>
          <w:tcPr>
            <w:tcW w:type="dxa" w:w="4320"/>
          </w:tcPr>
          <w:p>
            <w:r>
              <w:t>Locations where SWIFT messages, message files, logs, credentials, configuration files, and backups are stored or processed.</w:t>
            </w:r>
          </w:p>
        </w:tc>
      </w:tr>
      <w:tr>
        <w:tc>
          <w:tcPr>
            <w:tcW w:type="dxa" w:w="4320"/>
          </w:tcPr>
          <w:p>
            <w:r>
              <w:t>Determination rationale</w:t>
            </w:r>
          </w:p>
        </w:tc>
        <w:tc>
          <w:tcPr>
            <w:tcW w:type="dxa" w:w="4320"/>
          </w:tcPr>
          <w:p>
            <w:r>
              <w:t>Explanation supporting the selected architecture type.</w:t>
            </w:r>
          </w:p>
        </w:tc>
      </w:tr>
      <w:tr>
        <w:tc>
          <w:tcPr>
            <w:tcW w:type="dxa" w:w="4320"/>
          </w:tcPr>
          <w:p>
            <w:r>
              <w:t>Evidence references</w:t>
            </w:r>
          </w:p>
        </w:tc>
        <w:tc>
          <w:tcPr>
            <w:tcW w:type="dxa" w:w="4320"/>
          </w:tcPr>
          <w:p>
            <w:r>
              <w:t>Diagrams, contracts, configuration extracts, asset inventories, workflow documents, and assessment records supporting the determination.</w:t>
            </w:r>
          </w:p>
        </w:tc>
      </w:tr>
      <w:tr>
        <w:tc>
          <w:tcPr>
            <w:tcW w:type="dxa" w:w="4320"/>
          </w:tcPr>
          <w:p>
            <w:r>
              <w:t>Approval records</w:t>
            </w:r>
          </w:p>
        </w:tc>
        <w:tc>
          <w:tcPr>
            <w:tcW w:type="dxa" w:w="4320"/>
          </w:tcPr>
          <w:p>
            <w:r>
              <w:t>Names, roles, approval dates, and review outcomes.</w:t>
            </w:r>
          </w:p>
        </w:tc>
      </w:tr>
    </w:tbl>
    <w:p>
      <w:pPr>
        <w:pStyle w:val="ListBullet"/>
      </w:pPr>
      <w:r>
        <w:t>The organisation shall maintain current architecture diagrams for each SWIFT environment that show the components and relationships necessary to support architecture type determination.</w:t>
      </w:r>
    </w:p>
    <w:p>
      <w:pPr>
        <w:pStyle w:val="ListBullet"/>
      </w:pPr>
      <w:r>
        <w:t>SWIFT architecture diagrams shall include, as applicable:</w:t>
      </w:r>
    </w:p>
    <w:p>
      <w:pPr>
        <w:pStyle w:val="ListBullet"/>
      </w:pPr>
      <w:r>
        <w:t>SWIFT interfaces and messaging applications.</w:t>
      </w:r>
    </w:p>
    <w:p>
      <w:pPr>
        <w:pStyle w:val="ListBullet"/>
      </w:pPr>
      <w:r>
        <w:t>Connectivity gateways and communication components.</w:t>
      </w:r>
    </w:p>
    <w:p>
      <w:pPr>
        <w:pStyle w:val="ListBullet"/>
      </w:pPr>
      <w:r>
        <w:t>Middleware, file transfer, queueing, and integration platforms.</w:t>
      </w:r>
    </w:p>
    <w:p>
      <w:pPr>
        <w:pStyle w:val="ListBullet"/>
      </w:pPr>
      <w:r>
        <w:t>Core banking, treasury, payments, sanctions screening, fraud monitoring, reconciliation, and back-office systems connected to SWIFT workflows.</w:t>
      </w:r>
    </w:p>
    <w:p>
      <w:pPr>
        <w:pStyle w:val="ListBullet"/>
      </w:pPr>
      <w:r>
        <w:t>Operator and administrator workstations.</w:t>
      </w:r>
    </w:p>
    <w:p>
      <w:pPr>
        <w:pStyle w:val="ListBullet"/>
      </w:pPr>
      <w:r>
        <w:t>Authentication and identity infrastructure.</w:t>
      </w:r>
    </w:p>
    <w:p>
      <w:pPr>
        <w:pStyle w:val="ListBullet"/>
      </w:pPr>
      <w:r>
        <w:t>Logging, monitoring, and security tooling.</w:t>
      </w:r>
    </w:p>
    <w:p>
      <w:pPr>
        <w:pStyle w:val="ListBullet"/>
      </w:pPr>
      <w:r>
        <w:t>Firewalls, network zones, jump hosts, remote access paths, and management networks.</w:t>
      </w:r>
    </w:p>
    <w:p>
      <w:pPr>
        <w:pStyle w:val="ListBullet"/>
      </w:pPr>
      <w:r>
        <w:t>Service bureau, hosting provider, managed service provider, vendor, or cloud connectivity.</w:t>
      </w:r>
    </w:p>
    <w:p>
      <w:pPr>
        <w:pStyle w:val="ListBullet"/>
      </w:pPr>
      <w:r>
        <w:t>Disaster recovery and backup components.</w:t>
      </w:r>
    </w:p>
    <w:p>
      <w:pPr>
        <w:pStyle w:val="ListBullet"/>
      </w:pPr>
      <w:r>
        <w:t>Data stores containing SWIFT messages, logs, credentials, or configuration data.</w:t>
      </w:r>
    </w:p>
    <w:p>
      <w:pPr>
        <w:pStyle w:val="ListBullet"/>
      </w:pPr>
      <w:r>
        <w:t>The organisation shall maintain documented data flow and process flow information showing how SWIFT messages or instructions are created, validated, approved, transmitted, received, repaired, cancelled, investigated, reconciled, archived, and deleted.</w:t>
      </w:r>
    </w:p>
    <w:p>
      <w:pPr>
        <w:pStyle w:val="ListBullet"/>
      </w:pPr>
      <w:r>
        <w:t>The organisation shall identify and document the boundary of the SWIFT-related environment for each architecture type determination.</w:t>
      </w:r>
    </w:p>
    <w:p>
      <w:pPr>
        <w:pStyle w:val="ListBullet"/>
      </w:pPr>
      <w:r>
        <w:t>The SWIFT-related environment boundary shall include any component that can affect the confidentiality, integrity, availability, authentication, authorisation, transmission, or processing of SWIFT messages or SWIFT-related credentials.</w:t>
      </w:r>
    </w:p>
    <w:p>
      <w:pPr>
        <w:pStyle w:val="ListBullet"/>
      </w:pPr>
      <w:r>
        <w:t>The organisation shall identify all third parties involved in SWIFT operations and shall document their role in relation to architecture type determination.</w:t>
      </w:r>
    </w:p>
    <w:p>
      <w:pPr>
        <w:pStyle w:val="ListBullet"/>
      </w:pPr>
      <w:r>
        <w:t>The organisation shall not rely solely on a third-party attestation, contract, or service description to determine the organisation’s architecture type; the organisation shall validate how the service is actually used and integrated into its environment.</w:t>
      </w:r>
    </w:p>
    <w:p>
      <w:pPr>
        <w:pStyle w:val="ListBullet"/>
      </w:pPr>
      <w:r>
        <w:t>The organisation shall document whether the third party performs any of the following SWIFT-related activities:</w:t>
      </w:r>
    </w:p>
    <w:p>
      <w:pPr>
        <w:pStyle w:val="ListBullet"/>
      </w:pPr>
      <w:r>
        <w:t>Hosting SWIFT interfaces or connectivity components.</w:t>
      </w:r>
    </w:p>
    <w:p>
      <w:pPr>
        <w:pStyle w:val="ListBullet"/>
      </w:pPr>
      <w:r>
        <w:t>Operating SWIFT messaging services.</w:t>
      </w:r>
    </w:p>
    <w:p>
      <w:pPr>
        <w:pStyle w:val="ListBullet"/>
      </w:pPr>
      <w:r>
        <w:t>Providing service bureau functionality.</w:t>
      </w:r>
    </w:p>
    <w:p>
      <w:pPr>
        <w:pStyle w:val="ListBullet"/>
      </w:pPr>
      <w:r>
        <w:t>Providing remote administration or technical support.</w:t>
      </w:r>
    </w:p>
    <w:p>
      <w:pPr>
        <w:pStyle w:val="ListBullet"/>
      </w:pPr>
      <w:r>
        <w:t>Managing security configurations, certificates, keys, or credentials.</w:t>
      </w:r>
    </w:p>
    <w:p>
      <w:pPr>
        <w:pStyle w:val="ListBullet"/>
      </w:pPr>
      <w:r>
        <w:t>Managing infrastructure, operating systems, databases, middleware, or network components.</w:t>
      </w:r>
    </w:p>
    <w:p>
      <w:pPr>
        <w:pStyle w:val="ListBullet"/>
      </w:pPr>
      <w:r>
        <w:t>Performing transaction processing, message repair, approval, release, reconciliation, or monitoring.</w:t>
      </w:r>
    </w:p>
    <w:p>
      <w:pPr>
        <w:pStyle w:val="ListBullet"/>
      </w:pPr>
      <w:r>
        <w:t>Storing SWIFT messages, message data, logs, configuration files, backups, or authentication material.</w:t>
      </w:r>
    </w:p>
    <w:p>
      <w:pPr>
        <w:pStyle w:val="ListBullet"/>
      </w:pPr>
      <w:r>
        <w:t>The organisation shall maintain an asset inventory aligned to the SWIFT architecture type determination.</w:t>
      </w:r>
    </w:p>
    <w:p>
      <w:pPr>
        <w:pStyle w:val="ListBullet"/>
      </w:pPr>
      <w:r>
        <w:t>The SWIFT asset inventory shall identify whether each asset is in scope, supporting, connected, third-party managed, or out of scope, and shall include the justification for that classification.</w:t>
      </w:r>
    </w:p>
    <w:p>
      <w:pPr>
        <w:pStyle w:val="ListBullet"/>
      </w:pPr>
      <w:r>
        <w:t>The organisation shall ensure that all control scoping activities for SWIFT security are based on the approved architecture type and documented SWIFT environment boundary.</w:t>
      </w:r>
    </w:p>
    <w:p>
      <w:pPr>
        <w:pStyle w:val="ListBullet"/>
      </w:pPr>
      <w:r>
        <w:t>The organisation shall review the architecture type determination before implementing any material change to SWIFT-related systems, connectivity, hosting, administration, service providers, message flows, or business processes.</w:t>
      </w:r>
    </w:p>
    <w:p>
      <w:pPr>
        <w:pStyle w:val="ListBullet"/>
      </w:pPr>
      <w:r>
        <w:t>The organisation shall require formal approval before any architecture change that may alter the SWIFT architecture type or SWIFT environment boundary is implemented in production.</w:t>
      </w:r>
    </w:p>
    <w:p>
      <w:pPr>
        <w:pStyle w:val="ListBullet"/>
      </w:pPr>
      <w:r>
        <w:t>Material changes requiring review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Change Type</w:t>
            </w:r>
          </w:p>
        </w:tc>
        <w:tc>
          <w:tcPr>
            <w:tcW w:type="dxa" w:w="4320"/>
          </w:tcPr>
          <w:p>
            <w:r>
              <w:t>Examples</w:t>
            </w:r>
          </w:p>
        </w:tc>
      </w:tr>
      <w:tr>
        <w:tc>
          <w:tcPr>
            <w:tcW w:type="dxa" w:w="4320"/>
          </w:tcPr>
          <w:p>
            <w:r>
              <w:t>Connectivity change</w:t>
            </w:r>
          </w:p>
        </w:tc>
        <w:tc>
          <w:tcPr>
            <w:tcW w:type="dxa" w:w="4320"/>
          </w:tcPr>
          <w:p>
            <w:r>
              <w:t>New SWIFT connectivity method, service bureau connection, network path, remote access method, or external interface.</w:t>
            </w:r>
          </w:p>
        </w:tc>
      </w:tr>
      <w:tr>
        <w:tc>
          <w:tcPr>
            <w:tcW w:type="dxa" w:w="4320"/>
          </w:tcPr>
          <w:p>
            <w:r>
              <w:t>Hosting change</w:t>
            </w:r>
          </w:p>
        </w:tc>
        <w:tc>
          <w:tcPr>
            <w:tcW w:type="dxa" w:w="4320"/>
          </w:tcPr>
          <w:p>
            <w:r>
              <w:t>Migration to cloud, outsourced hosting, managed infrastructure, new data centre, or service provider environment.</w:t>
            </w:r>
          </w:p>
        </w:tc>
      </w:tr>
      <w:tr>
        <w:tc>
          <w:tcPr>
            <w:tcW w:type="dxa" w:w="4320"/>
          </w:tcPr>
          <w:p>
            <w:r>
              <w:t>Application change</w:t>
            </w:r>
          </w:p>
        </w:tc>
        <w:tc>
          <w:tcPr>
            <w:tcW w:type="dxa" w:w="4320"/>
          </w:tcPr>
          <w:p>
            <w:r>
              <w:t>New payments platform, treasury platform, sanctions screening system, file transfer solution, middleware, or SWIFT interface.</w:t>
            </w:r>
          </w:p>
        </w:tc>
      </w:tr>
      <w:tr>
        <w:tc>
          <w:tcPr>
            <w:tcW w:type="dxa" w:w="4320"/>
          </w:tcPr>
          <w:p>
            <w:r>
              <w:t>Operational change</w:t>
            </w:r>
          </w:p>
        </w:tc>
        <w:tc>
          <w:tcPr>
            <w:tcW w:type="dxa" w:w="4320"/>
          </w:tcPr>
          <w:p>
            <w:r>
              <w:t>Outsourcing SWIFT operations, introducing managed services, changing approval workflows, or modifying message release responsibilities.</w:t>
            </w:r>
          </w:p>
        </w:tc>
      </w:tr>
      <w:tr>
        <w:tc>
          <w:tcPr>
            <w:tcW w:type="dxa" w:w="4320"/>
          </w:tcPr>
          <w:p>
            <w:r>
              <w:t>Access change</w:t>
            </w:r>
          </w:p>
        </w:tc>
        <w:tc>
          <w:tcPr>
            <w:tcW w:type="dxa" w:w="4320"/>
          </w:tcPr>
          <w:p>
            <w:r>
              <w:t>New privileged access route, vendor support model, administrative workstation, service account model, or authentication mechanism.</w:t>
            </w:r>
          </w:p>
        </w:tc>
      </w:tr>
      <w:tr>
        <w:tc>
          <w:tcPr>
            <w:tcW w:type="dxa" w:w="4320"/>
          </w:tcPr>
          <w:p>
            <w:r>
              <w:t>Data flow change</w:t>
            </w:r>
          </w:p>
        </w:tc>
        <w:tc>
          <w:tcPr>
            <w:tcW w:type="dxa" w:w="4320"/>
          </w:tcPr>
          <w:p>
            <w:r>
              <w:t>New message source, message destination, storage location, backup method, logging destination, or reporting interface.</w:t>
            </w:r>
          </w:p>
        </w:tc>
      </w:tr>
      <w:tr>
        <w:tc>
          <w:tcPr>
            <w:tcW w:type="dxa" w:w="4320"/>
          </w:tcPr>
          <w:p>
            <w:r>
              <w:t>Resilience change</w:t>
            </w:r>
          </w:p>
        </w:tc>
        <w:tc>
          <w:tcPr>
            <w:tcW w:type="dxa" w:w="4320"/>
          </w:tcPr>
          <w:p>
            <w:r>
              <w:t>New disaster recovery architecture, failover process, backup service, or recovery site.</w:t>
            </w:r>
          </w:p>
        </w:tc>
      </w:tr>
      <w:tr>
        <w:tc>
          <w:tcPr>
            <w:tcW w:type="dxa" w:w="4320"/>
          </w:tcPr>
          <w:p>
            <w:r>
              <w:t>Third-party change</w:t>
            </w:r>
          </w:p>
        </w:tc>
        <w:tc>
          <w:tcPr>
            <w:tcW w:type="dxa" w:w="4320"/>
          </w:tcPr>
          <w:p>
            <w:r>
              <w:t>New service bureau, hosting provider, managed service provider, software vendor, support provider, or subcontractor.</w:t>
            </w:r>
          </w:p>
        </w:tc>
      </w:tr>
    </w:tbl>
    <w:p>
      <w:pPr>
        <w:pStyle w:val="ListBullet"/>
      </w:pPr>
      <w:r>
        <w:t>The organisation shall integrate SWIFT architecture type determination into change management, technology risk assessment, third-party risk management, security architecture review, and internal assurance planning.</w:t>
      </w:r>
    </w:p>
    <w:p>
      <w:pPr>
        <w:pStyle w:val="ListBullet"/>
      </w:pPr>
      <w:r>
        <w:t>The organisation shall retain evidence supporting architecture type determination for the current assessment period and for at least [retention period] thereafter.</w:t>
      </w:r>
    </w:p>
    <w:p>
      <w:pPr>
        <w:pStyle w:val="ListBullet"/>
      </w:pPr>
      <w:r>
        <w:t>The organisation shall ensure that personnel involved in SWIFT governance, operations, architecture, security, compliance, audit, and third-party management understand the approved architecture type and its implications for security control scope.</w:t>
      </w:r>
    </w:p>
    <w:p>
      <w:pPr>
        <w:pStyle w:val="ListBullet"/>
      </w:pPr>
      <w:r>
        <w:t>The organisation shall maintain traceability between the architecture type determination, SWIFT asset inventory, network diagrams, data flow diagrams, access model, third-party register, risk assessments, and control implementation records.</w:t>
      </w:r>
    </w:p>
    <w:p>
      <w:pPr>
        <w:pStyle w:val="ListBullet"/>
      </w:pPr>
      <w:r>
        <w:t>The organisation shall revalidate the architecture type when SWIFT guidance, services, operating models, or the organisation’s SWIFT usage materially changes.</w:t>
      </w:r>
    </w:p>
    <w:p>
      <w:pPr>
        <w:pStyle w:val="ListBullet"/>
      </w:pPr>
      <w:r>
        <w:t>The organisation shall ensure that architecture type determination is approved before submitting any SWIFT security attestation or equivalent assurance statement.</w:t>
      </w:r>
    </w:p>
    <w:p>
      <w:pPr>
        <w:pStyle w:val="ListBullet"/>
      </w:pPr>
      <w:r>
        <w:t>The organisation shall prohibit unsupported, undocumented, or informally agreed SWIFT connectivity arrangements.</w:t>
      </w:r>
    </w:p>
    <w:p>
      <w:pPr>
        <w:pStyle w:val="ListBullet"/>
      </w:pPr>
      <w:r>
        <w:t>The organisation shall escalate any discrepancy between documented architecture and observed implementation to the SWIFT Security Officer and Technology Owner for investigation and remediation.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Risk Committee</w:t>
            </w:r>
          </w:p>
        </w:tc>
        <w:tc>
          <w:tcPr>
            <w:tcW w:type="dxa" w:w="4320"/>
          </w:tcPr>
          <w:p>
            <w:r>
              <w:t>Provides oversight of SWIFT-related risk and ensures adequate governance, accountability, and resourcing for secure SWIFT operations.</w:t>
            </w:r>
          </w:p>
        </w:tc>
      </w:tr>
      <w:tr>
        <w:tc>
          <w:tcPr>
            <w:tcW w:type="dxa" w:w="4320"/>
          </w:tcPr>
          <w:p>
            <w:r>
              <w:t>Chief Information Security Officer</w:t>
            </w:r>
          </w:p>
        </w:tc>
        <w:tc>
          <w:tcPr>
            <w:tcW w:type="dxa" w:w="4320"/>
          </w:tcPr>
          <w:p>
            <w:r>
              <w:t>Owns enterprise security governance for SWIFT, ensures this policy is implemented, and approves significant risk decisions related to architecture type determination.</w:t>
            </w:r>
          </w:p>
        </w:tc>
      </w:tr>
      <w:tr>
        <w:tc>
          <w:tcPr>
            <w:tcW w:type="dxa" w:w="4320"/>
          </w:tcPr>
          <w:p>
            <w:r>
              <w:t>SWIFT Security Officer</w:t>
            </w:r>
          </w:p>
        </w:tc>
        <w:tc>
          <w:tcPr>
            <w:tcW w:type="dxa" w:w="4320"/>
          </w:tcPr>
          <w:p>
            <w:r>
              <w:t>Maintains the SWIFT architecture type determination, coordinates reviews, validates supporting evidence, and ensures alignment between architecture classification and security control scope.</w:t>
            </w:r>
          </w:p>
        </w:tc>
      </w:tr>
      <w:tr>
        <w:tc>
          <w:tcPr>
            <w:tcW w:type="dxa" w:w="4320"/>
          </w:tcPr>
          <w:p>
            <w:r>
              <w:t>SWIFT Business Owner</w:t>
            </w:r>
          </w:p>
        </w:tc>
        <w:tc>
          <w:tcPr>
            <w:tcW w:type="dxa" w:w="4320"/>
          </w:tcPr>
          <w:p>
            <w:r>
              <w:t>Confirms business processes, message flows, user activities, approval workflows, and third-party operational dependencies relevant to the architecture type.</w:t>
            </w:r>
          </w:p>
        </w:tc>
      </w:tr>
      <w:tr>
        <w:tc>
          <w:tcPr>
            <w:tcW w:type="dxa" w:w="4320"/>
          </w:tcPr>
          <w:p>
            <w:r>
              <w:t>Technology Owner</w:t>
            </w:r>
          </w:p>
        </w:tc>
        <w:tc>
          <w:tcPr>
            <w:tcW w:type="dxa" w:w="4320"/>
          </w:tcPr>
          <w:p>
            <w:r>
              <w:t>Provides technical information on SWIFT infrastructure, applications, integrations, connectivity, hosting, disaster recovery, and operational support arrangements.</w:t>
            </w:r>
          </w:p>
        </w:tc>
      </w:tr>
      <w:tr>
        <w:tc>
          <w:tcPr>
            <w:tcW w:type="dxa" w:w="4320"/>
          </w:tcPr>
          <w:p>
            <w:r>
              <w:t>Enterprise Architect / Security Architect</w:t>
            </w:r>
          </w:p>
        </w:tc>
        <w:tc>
          <w:tcPr>
            <w:tcW w:type="dxa" w:w="4320"/>
          </w:tcPr>
          <w:p>
            <w:r>
              <w:t>Reviews architecture diagrams, environment boundaries, network flows, data flows, and integration patterns to support accurate classification.</w:t>
            </w:r>
          </w:p>
        </w:tc>
      </w:tr>
      <w:tr>
        <w:tc>
          <w:tcPr>
            <w:tcW w:type="dxa" w:w="4320"/>
          </w:tcPr>
          <w:p>
            <w:r>
              <w:t>Infrastructure and Network Teams</w:t>
            </w:r>
          </w:p>
        </w:tc>
        <w:tc>
          <w:tcPr>
            <w:tcW w:type="dxa" w:w="4320"/>
          </w:tcPr>
          <w:p>
            <w:r>
              <w:t>Maintain accurate information on servers, network zones, firewalls, connectivity paths, remote access, monitoring, backup, and resilience components.</w:t>
            </w:r>
          </w:p>
        </w:tc>
      </w:tr>
      <w:tr>
        <w:tc>
          <w:tcPr>
            <w:tcW w:type="dxa" w:w="4320"/>
          </w:tcPr>
          <w:p>
            <w:r>
              <w:t>Application Owners</w:t>
            </w:r>
          </w:p>
        </w:tc>
        <w:tc>
          <w:tcPr>
            <w:tcW w:type="dxa" w:w="4320"/>
          </w:tcPr>
          <w:p>
            <w:r>
              <w:t>Identify applications that create, process, approve, transmit, receive, store, or interact with SWIFT messages or instructions.</w:t>
            </w:r>
          </w:p>
        </w:tc>
      </w:tr>
      <w:tr>
        <w:tc>
          <w:tcPr>
            <w:tcW w:type="dxa" w:w="4320"/>
          </w:tcPr>
          <w:p>
            <w:r>
              <w:t>Identity and Access Management Team</w:t>
            </w:r>
          </w:p>
        </w:tc>
        <w:tc>
          <w:tcPr>
            <w:tcW w:type="dxa" w:w="4320"/>
          </w:tcPr>
          <w:p>
            <w:r>
              <w:t>Provides information on user access, privileged access, service accounts, authentication, authorisation, and third-party access relevant to SWIFT operations.</w:t>
            </w:r>
          </w:p>
        </w:tc>
      </w:tr>
      <w:tr>
        <w:tc>
          <w:tcPr>
            <w:tcW w:type="dxa" w:w="4320"/>
          </w:tcPr>
          <w:p>
            <w:r>
              <w:t>Third-Party Risk Management Team</w:t>
            </w:r>
          </w:p>
        </w:tc>
        <w:tc>
          <w:tcPr>
            <w:tcW w:type="dxa" w:w="4320"/>
          </w:tcPr>
          <w:p>
            <w:r>
              <w:t>Maintains records of SWIFT-related service providers, validates contractual and operational dependencies, and supports review of outsourced or hosted services.</w:t>
            </w:r>
          </w:p>
        </w:tc>
      </w:tr>
      <w:tr>
        <w:tc>
          <w:tcPr>
            <w:tcW w:type="dxa" w:w="4320"/>
          </w:tcPr>
          <w:p>
            <w:r>
              <w:t>Change Advisory Board</w:t>
            </w:r>
          </w:p>
        </w:tc>
        <w:tc>
          <w:tcPr>
            <w:tcW w:type="dxa" w:w="4320"/>
          </w:tcPr>
          <w:p>
            <w:r>
              <w:t>Ensures SWIFT-related changes are assessed for architecture type impact before approval and implementation.</w:t>
            </w:r>
          </w:p>
        </w:tc>
      </w:tr>
      <w:tr>
        <w:tc>
          <w:tcPr>
            <w:tcW w:type="dxa" w:w="4320"/>
          </w:tcPr>
          <w:p>
            <w:r>
              <w:t>Compliance / GRC Function</w:t>
            </w:r>
          </w:p>
        </w:tc>
        <w:tc>
          <w:tcPr>
            <w:tcW w:type="dxa" w:w="4320"/>
          </w:tcPr>
          <w:p>
            <w:r>
              <w:t>Maintains governance records, monitors adherence to this policy, supports assurance readiness, and coordinates evidence retention.</w:t>
            </w:r>
          </w:p>
        </w:tc>
      </w:tr>
      <w:tr>
        <w:tc>
          <w:tcPr>
            <w:tcW w:type="dxa" w:w="4320"/>
          </w:tcPr>
          <w:p>
            <w:r>
              <w:t>Internal Audit</w:t>
            </w:r>
          </w:p>
        </w:tc>
        <w:tc>
          <w:tcPr>
            <w:tcW w:type="dxa" w:w="4320"/>
          </w:tcPr>
          <w:p>
            <w:r>
              <w:t>Performs independent review of architecture type determination, evidence quality, governance effectiveness, and alignment between documented scope and actual implementation.</w:t>
            </w:r>
          </w:p>
        </w:tc>
      </w:tr>
      <w:tr>
        <w:tc>
          <w:tcPr>
            <w:tcW w:type="dxa" w:w="4320"/>
          </w:tcPr>
          <w:p>
            <w:r>
              <w:t>Service Providers</w:t>
            </w:r>
          </w:p>
        </w:tc>
        <w:tc>
          <w:tcPr>
            <w:tcW w:type="dxa" w:w="4320"/>
          </w:tcPr>
          <w:p>
            <w:r>
              <w:t>Provide accurate and timely information required to validate architecture type, including service descriptions, roles and responsibilities, data handling, access methods, hosting arrangements, and support models.</w:t>
            </w:r>
          </w:p>
        </w:tc>
      </w:tr>
    </w:tbl>
    <w:p>
      <w:pPr>
        <w:pStyle w:val="Heading2"/>
      </w:pPr>
      <w:r>
        <w:t>Compliance, Monitoring &amp; Enforcement</w:t>
      </w:r>
    </w:p>
    <w:p>
      <w:r>
        <w:t>Compliance with this policy is mandatory for all personnel, contractors, and third parties involved in SWIFT-related services or environments.</w:t>
      </w:r>
    </w:p>
    <w:p>
      <w:r>
        <w:t>The SWIFT Security Officer, supported by the Compliance / GRC function, shall monitor compliance through scheduled reviews, evidence validation, change assessments, and periodic control assurance activities.</w:t>
      </w:r>
    </w:p>
    <w:p>
      <w:r>
        <w:t>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Owner</w:t>
            </w:r>
          </w:p>
        </w:tc>
        <w:tc>
          <w:tcPr>
            <w:tcW w:type="dxa" w:w="2160"/>
          </w:tcPr>
          <w:p>
            <w:r>
              <w:t>Evidence</w:t>
            </w:r>
          </w:p>
        </w:tc>
      </w:tr>
      <w:tr>
        <w:tc>
          <w:tcPr>
            <w:tcW w:type="dxa" w:w="2160"/>
          </w:tcPr>
          <w:p>
            <w:r>
              <w:t>Formal review of SWIFT architecture type determination</w:t>
            </w:r>
          </w:p>
        </w:tc>
        <w:tc>
          <w:tcPr>
            <w:tcW w:type="dxa" w:w="2160"/>
          </w:tcPr>
          <w:p>
            <w:r>
              <w:t>At least annually</w:t>
            </w:r>
          </w:p>
        </w:tc>
        <w:tc>
          <w:tcPr>
            <w:tcW w:type="dxa" w:w="2160"/>
          </w:tcPr>
          <w:p>
            <w:r>
              <w:t>SWIFT Security Officer</w:t>
            </w:r>
          </w:p>
        </w:tc>
        <w:tc>
          <w:tcPr>
            <w:tcW w:type="dxa" w:w="2160"/>
          </w:tcPr>
          <w:p>
            <w:r>
              <w:t>Approved architecture determination record</w:t>
            </w:r>
          </w:p>
        </w:tc>
      </w:tr>
      <w:tr>
        <w:tc>
          <w:tcPr>
            <w:tcW w:type="dxa" w:w="2160"/>
          </w:tcPr>
          <w:p>
            <w:r>
              <w:t>Review of SWIFT architecture diagrams</w:t>
            </w:r>
          </w:p>
        </w:tc>
        <w:tc>
          <w:tcPr>
            <w:tcW w:type="dxa" w:w="2160"/>
          </w:tcPr>
          <w:p>
            <w:r>
              <w:t>At least annually and after material change</w:t>
            </w:r>
          </w:p>
        </w:tc>
        <w:tc>
          <w:tcPr>
            <w:tcW w:type="dxa" w:w="2160"/>
          </w:tcPr>
          <w:p>
            <w:r>
              <w:t>Technology Owner</w:t>
            </w:r>
          </w:p>
        </w:tc>
        <w:tc>
          <w:tcPr>
            <w:tcW w:type="dxa" w:w="2160"/>
          </w:tcPr>
          <w:p>
            <w:r>
              <w:t>Current diagrams with approval record</w:t>
            </w:r>
          </w:p>
        </w:tc>
      </w:tr>
      <w:tr>
        <w:tc>
          <w:tcPr>
            <w:tcW w:type="dxa" w:w="2160"/>
          </w:tcPr>
          <w:p>
            <w:r>
              <w:t>Review of SWIFT data flows and process flows</w:t>
            </w:r>
          </w:p>
        </w:tc>
        <w:tc>
          <w:tcPr>
            <w:tcW w:type="dxa" w:w="2160"/>
          </w:tcPr>
          <w:p>
            <w:r>
              <w:t>At least annually and after material change</w:t>
            </w:r>
          </w:p>
        </w:tc>
        <w:tc>
          <w:tcPr>
            <w:tcW w:type="dxa" w:w="2160"/>
          </w:tcPr>
          <w:p>
            <w:r>
              <w:t>SWIFT Business Owner</w:t>
            </w:r>
          </w:p>
        </w:tc>
        <w:tc>
          <w:tcPr>
            <w:tcW w:type="dxa" w:w="2160"/>
          </w:tcPr>
          <w:p>
            <w:r>
              <w:t>Data flow diagrams and process documentation</w:t>
            </w:r>
          </w:p>
        </w:tc>
      </w:tr>
      <w:tr>
        <w:tc>
          <w:tcPr>
            <w:tcW w:type="dxa" w:w="2160"/>
          </w:tcPr>
          <w:p>
            <w:r>
              <w:t>Reconciliation of SWIFT asset inventory to architecture scope</w:t>
            </w:r>
          </w:p>
        </w:tc>
        <w:tc>
          <w:tcPr>
            <w:tcW w:type="dxa" w:w="2160"/>
          </w:tcPr>
          <w:p>
            <w:r>
              <w:t>At least quarterly</w:t>
            </w:r>
          </w:p>
        </w:tc>
        <w:tc>
          <w:tcPr>
            <w:tcW w:type="dxa" w:w="2160"/>
          </w:tcPr>
          <w:p>
            <w:r>
              <w:t>Technology Owner</w:t>
            </w:r>
          </w:p>
        </w:tc>
        <w:tc>
          <w:tcPr>
            <w:tcW w:type="dxa" w:w="2160"/>
          </w:tcPr>
          <w:p>
            <w:r>
              <w:t>Asset inventory review record</w:t>
            </w:r>
          </w:p>
        </w:tc>
      </w:tr>
      <w:tr>
        <w:tc>
          <w:tcPr>
            <w:tcW w:type="dxa" w:w="2160"/>
          </w:tcPr>
          <w:p>
            <w:r>
              <w:t>Review of third-party SWIFT dependencies</w:t>
            </w:r>
          </w:p>
        </w:tc>
        <w:tc>
          <w:tcPr>
            <w:tcW w:type="dxa" w:w="2160"/>
          </w:tcPr>
          <w:p>
            <w:r>
              <w:t>At least annually and upon provider change</w:t>
            </w:r>
          </w:p>
        </w:tc>
        <w:tc>
          <w:tcPr>
            <w:tcW w:type="dxa" w:w="2160"/>
          </w:tcPr>
          <w:p>
            <w:r>
              <w:t>Third-Party Risk Management Team</w:t>
            </w:r>
          </w:p>
        </w:tc>
        <w:tc>
          <w:tcPr>
            <w:tcW w:type="dxa" w:w="2160"/>
          </w:tcPr>
          <w:p>
            <w:r>
              <w:t>Supplier register, contracts, service descriptions</w:t>
            </w:r>
          </w:p>
        </w:tc>
      </w:tr>
      <w:tr>
        <w:tc>
          <w:tcPr>
            <w:tcW w:type="dxa" w:w="2160"/>
          </w:tcPr>
          <w:p>
            <w:r>
              <w:t>Change impact review for SWIFT architecture type</w:t>
            </w:r>
          </w:p>
        </w:tc>
        <w:tc>
          <w:tcPr>
            <w:tcW w:type="dxa" w:w="2160"/>
          </w:tcPr>
          <w:p>
            <w:r>
              <w:t>For every material change</w:t>
            </w:r>
          </w:p>
        </w:tc>
        <w:tc>
          <w:tcPr>
            <w:tcW w:type="dxa" w:w="2160"/>
          </w:tcPr>
          <w:p>
            <w:r>
              <w:t>Change Advisory Board</w:t>
            </w:r>
          </w:p>
        </w:tc>
        <w:tc>
          <w:tcPr>
            <w:tcW w:type="dxa" w:w="2160"/>
          </w:tcPr>
          <w:p>
            <w:r>
              <w:t>Change record and architecture impact assessment</w:t>
            </w:r>
          </w:p>
        </w:tc>
      </w:tr>
      <w:tr>
        <w:tc>
          <w:tcPr>
            <w:tcW w:type="dxa" w:w="2160"/>
          </w:tcPr>
          <w:p>
            <w:r>
              <w:t>Validation before SWIFT assurance submission</w:t>
            </w:r>
          </w:p>
        </w:tc>
        <w:tc>
          <w:tcPr>
            <w:tcW w:type="dxa" w:w="2160"/>
          </w:tcPr>
          <w:p>
            <w:r>
              <w:t>Prior to submission</w:t>
            </w:r>
          </w:p>
        </w:tc>
        <w:tc>
          <w:tcPr>
            <w:tcW w:type="dxa" w:w="2160"/>
          </w:tcPr>
          <w:p>
            <w:r>
              <w:t>CISO / SWIFT Security Officer</w:t>
            </w:r>
          </w:p>
        </w:tc>
        <w:tc>
          <w:tcPr>
            <w:tcW w:type="dxa" w:w="2160"/>
          </w:tcPr>
          <w:p>
            <w:r>
              <w:t>Evidence pack and approval record</w:t>
            </w:r>
          </w:p>
        </w:tc>
      </w:tr>
      <w:tr>
        <w:tc>
          <w:tcPr>
            <w:tcW w:type="dxa" w:w="2160"/>
          </w:tcPr>
          <w:p>
            <w:r>
              <w:t>Independent assurance review</w:t>
            </w:r>
          </w:p>
        </w:tc>
        <w:tc>
          <w:tcPr>
            <w:tcW w:type="dxa" w:w="2160"/>
          </w:tcPr>
          <w:p>
            <w:r>
              <w:t>As scheduled in the audit plan</w:t>
            </w:r>
          </w:p>
        </w:tc>
        <w:tc>
          <w:tcPr>
            <w:tcW w:type="dxa" w:w="2160"/>
          </w:tcPr>
          <w:p>
            <w:r>
              <w:t>Internal Audit</w:t>
            </w:r>
          </w:p>
        </w:tc>
        <w:tc>
          <w:tcPr>
            <w:tcW w:type="dxa" w:w="2160"/>
          </w:tcPr>
          <w:p>
            <w:r>
              <w:t>Audit report or review memo</w:t>
            </w:r>
          </w:p>
        </w:tc>
      </w:tr>
    </w:tbl>
    <w:p>
      <w:r>
        <w:t>Non-compliance shall be recorded, risk assessed, assigned an owner, and tracked to remediation. Where non-compliance could affect the accuracy of SWIFT security scoping or external assurance, the issue shall be escalated to the CISO and relevant executive risk forum.</w:t>
      </w:r>
    </w:p>
    <w:p>
      <w:r>
        <w:t>Examples of non-compliance include:</w:t>
      </w:r>
    </w:p>
    <w:p>
      <w:pPr>
        <w:pStyle w:val="ListBullet"/>
      </w:pPr>
      <w:r>
        <w:t>No documented architecture type determination exists.</w:t>
      </w:r>
    </w:p>
    <w:p>
      <w:pPr>
        <w:pStyle w:val="ListBullet"/>
      </w:pPr>
      <w:r>
        <w:t>Architecture type is undocumented, outdated, or unsupported by evidence.</w:t>
      </w:r>
    </w:p>
    <w:p>
      <w:pPr>
        <w:pStyle w:val="ListBullet"/>
      </w:pPr>
      <w:r>
        <w:t>Architecture diagrams do not reflect the implemented environment.</w:t>
      </w:r>
    </w:p>
    <w:p>
      <w:pPr>
        <w:pStyle w:val="ListBullet"/>
      </w:pPr>
      <w:r>
        <w:t>Third-party SWIFT dependencies are omitted or inaccurately described.</w:t>
      </w:r>
    </w:p>
    <w:p>
      <w:pPr>
        <w:pStyle w:val="ListBullet"/>
      </w:pPr>
      <w:r>
        <w:t>Material architecture changes are implemented without classification review.</w:t>
      </w:r>
    </w:p>
    <w:p>
      <w:pPr>
        <w:pStyle w:val="ListBullet"/>
      </w:pPr>
      <w:r>
        <w:t>SWIFT-connected systems are excluded from scope without documented justification.</w:t>
      </w:r>
    </w:p>
    <w:p>
      <w:pPr>
        <w:pStyle w:val="ListBullet"/>
      </w:pPr>
      <w:r>
        <w:t>The selected architecture type is inconsistent with actual hosting, connectivity, access, or operational arrangements.</w:t>
      </w:r>
    </w:p>
    <w:p>
      <w:pPr>
        <w:pStyle w:val="ListBullet"/>
      </w:pPr>
      <w:r>
        <w:t>Control implementation or assurance activity is based on an incorrect architecture type.</w:t>
      </w:r>
    </w:p>
    <w:p>
      <w:r>
        <w:t>Enforcement actions may include mandatory remediation, suspension of unapproved connectivity, restriction of privileged or third-party access, change rollback, additional assurance review, risk acceptance escalation, contractual action with service providers, or disciplinary action in accordance with organisational policies.</w:t>
      </w:r>
    </w:p>
    <w:p>
      <w:pPr>
        <w:pStyle w:val="Heading2"/>
      </w:pPr>
      <w:r>
        <w:t>Exceptions</w:t>
      </w:r>
    </w:p>
    <w:p>
      <w:r>
        <w:t>Exceptions to this policy are permitted only where there is a documented business need, a defined compensating control, and formal risk acceptance.</w:t>
      </w:r>
    </w:p>
    <w:p>
      <w:r>
        <w:t>An exception shall not be used to avoid determining the correct SWIFT architecture type. The architecture type shall be documented even where supporting evidence is incomplete, disputed, or pending validation.</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Exception title</w:t>
            </w:r>
          </w:p>
        </w:tc>
        <w:tc>
          <w:tcPr>
            <w:tcW w:type="dxa" w:w="4320"/>
          </w:tcPr>
          <w:p>
            <w:r>
              <w:t>Short description of the requested exception.</w:t>
            </w:r>
          </w:p>
        </w:tc>
      </w:tr>
      <w:tr>
        <w:tc>
          <w:tcPr>
            <w:tcW w:type="dxa" w:w="4320"/>
          </w:tcPr>
          <w:p>
            <w:r>
              <w:t>Requestor</w:t>
            </w:r>
          </w:p>
        </w:tc>
        <w:tc>
          <w:tcPr>
            <w:tcW w:type="dxa" w:w="4320"/>
          </w:tcPr>
          <w:p>
            <w:r>
              <w:t>Individual and business area requesting the exception.</w:t>
            </w:r>
          </w:p>
        </w:tc>
      </w:tr>
      <w:tr>
        <w:tc>
          <w:tcPr>
            <w:tcW w:type="dxa" w:w="4320"/>
          </w:tcPr>
          <w:p>
            <w:r>
              <w:t>Affected environment</w:t>
            </w:r>
          </w:p>
        </w:tc>
        <w:tc>
          <w:tcPr>
            <w:tcW w:type="dxa" w:w="4320"/>
          </w:tcPr>
          <w:p>
            <w:r>
              <w:t>SWIFT environment, system, process, or provider affected.</w:t>
            </w:r>
          </w:p>
        </w:tc>
      </w:tr>
      <w:tr>
        <w:tc>
          <w:tcPr>
            <w:tcW w:type="dxa" w:w="4320"/>
          </w:tcPr>
          <w:p>
            <w:r>
              <w:t>Policy requirement impacted</w:t>
            </w:r>
          </w:p>
        </w:tc>
        <w:tc>
          <w:tcPr>
            <w:tcW w:type="dxa" w:w="4320"/>
          </w:tcPr>
          <w:p>
            <w:r>
              <w:t>Specific policy requirement for which exception is requested.</w:t>
            </w:r>
          </w:p>
        </w:tc>
      </w:tr>
      <w:tr>
        <w:tc>
          <w:tcPr>
            <w:tcW w:type="dxa" w:w="4320"/>
          </w:tcPr>
          <w:p>
            <w:r>
              <w:t>Business justification</w:t>
            </w:r>
          </w:p>
        </w:tc>
        <w:tc>
          <w:tcPr>
            <w:tcW w:type="dxa" w:w="4320"/>
          </w:tcPr>
          <w:p>
            <w:r>
              <w:t>Reason compliance cannot be achieved within the required timeframe.</w:t>
            </w:r>
          </w:p>
        </w:tc>
      </w:tr>
      <w:tr>
        <w:tc>
          <w:tcPr>
            <w:tcW w:type="dxa" w:w="4320"/>
          </w:tcPr>
          <w:p>
            <w:r>
              <w:t>Risk assessment</w:t>
            </w:r>
          </w:p>
        </w:tc>
        <w:tc>
          <w:tcPr>
            <w:tcW w:type="dxa" w:w="4320"/>
          </w:tcPr>
          <w:p>
            <w:r>
              <w:t>Security, operational, compliance, assurance, and financial crime risk implications.</w:t>
            </w:r>
          </w:p>
        </w:tc>
      </w:tr>
      <w:tr>
        <w:tc>
          <w:tcPr>
            <w:tcW w:type="dxa" w:w="4320"/>
          </w:tcPr>
          <w:p>
            <w:r>
              <w:t>Compensating controls</w:t>
            </w:r>
          </w:p>
        </w:tc>
        <w:tc>
          <w:tcPr>
            <w:tcW w:type="dxa" w:w="4320"/>
          </w:tcPr>
          <w:p>
            <w:r>
              <w:t>Controls that reduce risk while the exception remains active.</w:t>
            </w:r>
          </w:p>
        </w:tc>
      </w:tr>
      <w:tr>
        <w:tc>
          <w:tcPr>
            <w:tcW w:type="dxa" w:w="4320"/>
          </w:tcPr>
          <w:p>
            <w:r>
              <w:t>Remediation plan</w:t>
            </w:r>
          </w:p>
        </w:tc>
        <w:tc>
          <w:tcPr>
            <w:tcW w:type="dxa" w:w="4320"/>
          </w:tcPr>
          <w:p>
            <w:r>
              <w:t>Actions required to achieve compliance.</w:t>
            </w:r>
          </w:p>
        </w:tc>
      </w:tr>
      <w:tr>
        <w:tc>
          <w:tcPr>
            <w:tcW w:type="dxa" w:w="4320"/>
          </w:tcPr>
          <w:p>
            <w:r>
              <w:t>Target remediation date</w:t>
            </w:r>
          </w:p>
        </w:tc>
        <w:tc>
          <w:tcPr>
            <w:tcW w:type="dxa" w:w="4320"/>
          </w:tcPr>
          <w:p>
            <w:r>
              <w:t>Date by which the exception will be closed.</w:t>
            </w:r>
          </w:p>
        </w:tc>
      </w:tr>
      <w:tr>
        <w:tc>
          <w:tcPr>
            <w:tcW w:type="dxa" w:w="4320"/>
          </w:tcPr>
          <w:p>
            <w:r>
              <w:t>Approval</w:t>
            </w:r>
          </w:p>
        </w:tc>
        <w:tc>
          <w:tcPr>
            <w:tcW w:type="dxa" w:w="4320"/>
          </w:tcPr>
          <w:p>
            <w:r>
              <w:t>Required approval from the CISO or delegated risk authority.</w:t>
            </w:r>
          </w:p>
        </w:tc>
      </w:tr>
    </w:tbl>
    <w:p>
      <w:r>
        <w:t>Exceptions shall be time-bound and shall not exceed [maximum exception period] without reapproval. Exceptions affecting SWIFT assurance, architecture classification, environment boundary, or external reporting shall require approval from the CISO and notification to the relevant executive risk forum.</w:t>
      </w:r>
    </w:p>
    <w:p>
      <w:r>
        <w:t>Expired exceptions shall be treated as policy non-compliance unless renewed through the formal exception process before expiry.</w:t>
      </w:r>
    </w:p>
    <w:p>
      <w:pPr>
        <w:pStyle w:val="Heading2"/>
      </w:pPr>
      <w:r>
        <w:t>Review &amp; Maintenance</w:t>
      </w:r>
    </w:p>
    <w:p>
      <w:r>
        <w:t>This policy shall be reviewed at least annually and whenever there is a material change to SWIFT services, architecture, connectivity, hosting, operations, third-party arrangements, security expectations, or organisational risk appetite.</w:t>
      </w:r>
    </w:p>
    <w:p>
      <w:r>
        <w:t>The SWIFT Security Officer shall coordinate review and maintenance of this policy with input from the CISO, Technology Owner, SWIFT Business Owner, Enterprise Architecture, Compliance / GRC, Third-Party Risk Management, and Internal Audit.</w:t>
      </w:r>
    </w:p>
    <w:p>
      <w:r>
        <w:t>The review shall confirm that:</w:t>
      </w:r>
    </w:p>
    <w:p>
      <w:pPr>
        <w:pStyle w:val="ListBullet"/>
      </w:pPr>
      <w:r>
        <w:t>Architecture type criteria remain current and practical for the organisation’s SWIFT operating model.</w:t>
      </w:r>
    </w:p>
    <w:p>
      <w:pPr>
        <w:pStyle w:val="ListBullet"/>
      </w:pPr>
      <w:r>
        <w:t>Roles and responsibilities remain accurate.</w:t>
      </w:r>
    </w:p>
    <w:p>
      <w:pPr>
        <w:pStyle w:val="ListBullet"/>
      </w:pPr>
      <w:r>
        <w:t>Monitoring activities remain appropriate and effective.</w:t>
      </w:r>
    </w:p>
    <w:p>
      <w:pPr>
        <w:pStyle w:val="ListBullet"/>
      </w:pPr>
      <w:r>
        <w:t>Required evidence supports assurance and audit needs.</w:t>
      </w:r>
    </w:p>
    <w:p>
      <w:pPr>
        <w:pStyle w:val="ListBullet"/>
      </w:pPr>
      <w:r>
        <w:t>The policy aligns with related governance documents, including change management, asset management, access control, third-party risk management, network security, incident management, business continuity, and information security risk management policies.</w:t>
      </w:r>
    </w:p>
    <w:p>
      <w:pPr>
        <w:pStyle w:val="ListBullet"/>
      </w:pPr>
      <w:r>
        <w:t>Lessons learned from incidents, audits, assessments, control testing, and material changes are incorporated.</w:t>
      </w:r>
    </w:p>
    <w:p>
      <w:r>
        <w:t>Policy changes shall be approved by the CISO or designated policy approval authority. Approved versions shall be published in the organisation’s controlled policy repository. Superseded versions shall be retained in accordance with the organisation’s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