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Officer Appointment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[POL-DP-DPO-001]</w:t>
            </w:r>
          </w:p>
        </w:tc>
        <w:tc>
          <w:tcPr>
            <w:tcW w:type="dxa" w:w="1440"/>
          </w:tcPr>
          <w:p>
            <w:r>
              <w:t>1.0</w:t>
            </w:r>
          </w:p>
        </w:tc>
        <w:tc>
          <w:tcPr>
            <w:tcW w:type="dxa" w:w="1440"/>
          </w:tcPr>
          <w:p>
            <w:r>
              <w:t>[Privacy Office / Legal &amp; Compliance]</w:t>
            </w:r>
          </w:p>
        </w:tc>
        <w:tc>
          <w:tcPr>
            <w:tcW w:type="dxa" w:w="1440"/>
          </w:tcPr>
          <w:p>
            <w:r>
              <w:t>[Effective Date]</w:t>
            </w:r>
          </w:p>
        </w:tc>
        <w:tc>
          <w:tcPr>
            <w:tcW w:type="dxa" w:w="1440"/>
          </w:tcPr>
          <w:p>
            <w:r>
              <w:t>Saudi Personal Data Protection Law and Implementing Regulations</w:t>
            </w:r>
          </w:p>
        </w:tc>
        <w:tc>
          <w:tcPr>
            <w:tcW w:type="dxa" w:w="1440"/>
          </w:tcPr>
          <w:p>
            <w:r>
              <w:t>Internal</w:t>
            </w:r>
          </w:p>
        </w:tc>
      </w:tr>
    </w:tbl>
    <w:p>
      <w:pPr>
        <w:pStyle w:val="Heading2"/>
      </w:pPr>
      <w:r>
        <w:t>Purpose</w:t>
      </w:r>
    </w:p>
    <w:p>
      <w:r>
        <w:t>This Policy establishes the mandatory requirements for appointing, positioning, supporting, and overseeing the Data Protection Officer for [Organisation Name] in accordance with Saudi personal data protection requirements.</w:t>
      </w:r>
    </w:p>
    <w:p>
      <w:r>
        <w:t>The purpose of the Data Protection Officer role is to provide independent advice, oversight, and monitoring over the organisation’s handling of personal data, including activities that involve continuous monitoring of individuals, large-scale processing, or sensitive personal data. The Data Protection Officer helps ensure that personal data is processed lawfully, fairly, transparently, securely, and in a manner that protects the rights of data subjects.</w:t>
      </w:r>
    </w:p>
    <w:p>
      <w:r>
        <w:t>This Policy ensures that the Data Protection Officer:</w:t>
      </w:r>
    </w:p>
    <w:p>
      <w:pPr>
        <w:pStyle w:val="ListBullet"/>
      </w:pPr>
      <w:r>
        <w:t>Is formally appointed where required based on the nature, scale, and sensitivity of processing activities.</w:t>
      </w:r>
    </w:p>
    <w:p>
      <w:pPr>
        <w:pStyle w:val="ListBullet"/>
      </w:pPr>
      <w:r>
        <w:t>Has appropriate authority, independence, access, and resources.</w:t>
      </w:r>
    </w:p>
    <w:p>
      <w:pPr>
        <w:pStyle w:val="ListBullet"/>
      </w:pPr>
      <w:r>
        <w:t>Is involved in personal data protection matters in a timely and meaningful way.</w:t>
      </w:r>
    </w:p>
    <w:p>
      <w:pPr>
        <w:pStyle w:val="ListBullet"/>
      </w:pPr>
      <w:r>
        <w:t>Acts as a point of contact for internal stakeholders, data subjects, regulators, and relevant external parties.</w:t>
      </w:r>
    </w:p>
    <w:p>
      <w:pPr>
        <w:pStyle w:val="ListBullet"/>
      </w:pPr>
      <w:r>
        <w:t>Provides ongoing oversight of compliance with applicable data protection obligations.</w:t>
      </w:r>
    </w:p>
    <w:p>
      <w:pPr>
        <w:pStyle w:val="Heading2"/>
      </w:pPr>
      <w:r>
        <w:t>Scope</w:t>
      </w:r>
    </w:p>
    <w:p>
      <w:r>
        <w:t>This Policy applies to:</w:t>
      </w:r>
    </w:p>
    <w:p>
      <w:pPr>
        <w:pStyle w:val="ListBullet"/>
      </w:pPr>
      <w:r>
        <w:t>[Organisation Name], including all business units, functions, branches, subsidiaries, and controlled entities operating in or processing personal data relating to individuals in the Kingdom of Saudi Arabia.</w:t>
      </w:r>
    </w:p>
    <w:p>
      <w:pPr>
        <w:pStyle w:val="ListBullet"/>
      </w:pPr>
      <w:r>
        <w:t>All employees, contractors, consultants, temporary workers, interns, secondees, and third parties acting on behalf of the organisation.</w:t>
      </w:r>
    </w:p>
    <w:p>
      <w:pPr>
        <w:pStyle w:val="ListBullet"/>
      </w:pPr>
      <w:r>
        <w:t>All personal data processing activities carried out by or for the organisation, whether performed manually or through automated systems.</w:t>
      </w:r>
    </w:p>
    <w:p>
      <w:pPr>
        <w:pStyle w:val="ListBullet"/>
      </w:pPr>
      <w:r>
        <w:t>Processing activities involving customers, employees, job applicants, suppliers, visitors, patients, users, beneficiaries, partners, or any other identifiable individuals.</w:t>
      </w:r>
    </w:p>
    <w:p>
      <w:pPr>
        <w:pStyle w:val="ListBullet"/>
      </w:pPr>
      <w:r>
        <w:t>Third-party service providers, processors, vendors, partners, and affiliates that process personal data on behalf of the organisation.</w:t>
      </w:r>
    </w:p>
    <w:p>
      <w:r>
        <w:t>This Policy applies in particular to processing activities that involve one or more of the following:</w:t>
      </w:r>
    </w:p>
    <w:p>
      <w:pPr>
        <w:pStyle w:val="ListBullet"/>
      </w:pPr>
      <w:r>
        <w:t>Continuous or systematic monitoring of individuals, including behavioural tracking, surveillance, profiling, location tracking, usage analytics, or similar activities.</w:t>
      </w:r>
    </w:p>
    <w:p>
      <w:pPr>
        <w:pStyle w:val="ListBullet"/>
      </w:pPr>
      <w:r>
        <w:t>Large-scale processing of personal data.</w:t>
      </w:r>
    </w:p>
    <w:p>
      <w:pPr>
        <w:pStyle w:val="ListBullet"/>
      </w:pPr>
      <w:r>
        <w:t>Processing of sensitive personal data, including health data, biometric data, genetic data, financial data, credit data, criminal-related data, or data revealing religious, political, or similar protected characteristics.</w:t>
      </w:r>
    </w:p>
    <w:p>
      <w:pPr>
        <w:pStyle w:val="ListBullet"/>
      </w:pPr>
      <w:r>
        <w:t>Processing that may significantly affect the rights, freedoms, decisions, access to services, eligibility, reputation, or privacy of individuals.</w:t>
      </w:r>
    </w:p>
    <w:p>
      <w:pPr>
        <w:pStyle w:val="ListBullet"/>
      </w:pPr>
      <w:r>
        <w:t>Cross-border transfer or disclosure of personal data where applicable legal requirements must be assessed and controlled.</w:t>
      </w:r>
    </w:p>
    <w:p>
      <w:r>
        <w:t>This Policy does not replace the organisation’s broader privacy, information security, legal, risk, records management, or incident response policies. It shall be read together with those documents.</w:t>
      </w:r>
    </w:p>
    <w:p>
      <w:pPr>
        <w:pStyle w:val="Heading2"/>
      </w:pPr>
      <w:r>
        <w:t>Policy Statements</w:t>
      </w:r>
    </w:p>
    <w:p>
      <w:pPr>
        <w:pStyle w:val="ListBullet"/>
      </w:pPr>
      <w:r>
        <w:t>Mandatory Appointment Requirement</w:t>
      </w:r>
    </w:p>
    <w:p>
      <w:r>
        <w:t>1.1. [Organisation Name] shall appoint a Data Protection Officer where the organisation’s personal data processing activities require dedicated oversight due to their scale, continuity, sensitivity, or potential impact on individuals.</w:t>
      </w:r>
    </w:p>
    <w:p>
      <w:r>
        <w:t>1.2. The organisation shall appoint a Data Protection Officer when it conducts continuous monitoring of individuals, large-scale processing of personal data, or processing of sensitive personal data.</w:t>
      </w:r>
    </w:p>
    <w:p>
      <w:r>
        <w:t>1.3. The organisation shall document the basis for appointing, not appointing, or changing the Data Protection Officer role and shall retain this assessment as an auditable record.</w:t>
      </w:r>
    </w:p>
    <w:p>
      <w:r>
        <w:t>1.4. The organisation shall reassess the need for a Data Protection Officer whenever there is a material change in business activities, technologies, data processing operations, regulatory obligations, organisational structure, or risk profile.</w:t>
      </w:r>
    </w:p>
    <w:p>
      <w:pPr>
        <w:pStyle w:val="ListBullet"/>
      </w:pPr>
      <w:r>
        <w:t>Formal Appointment and Approval</w:t>
      </w:r>
    </w:p>
    <w:p>
      <w:r>
        <w:t>2.1. The Data Protection Officer shall be formally appointed in writing by authorised senior management.</w:t>
      </w:r>
    </w:p>
    <w:p>
      <w:r>
        <w:t>2.2. The appointment shall identify the appointed individual or external service provider, reporting line, responsibilities, authority, contact details, effective date, and term of appointment where applicable.</w:t>
      </w:r>
    </w:p>
    <w:p>
      <w:r>
        <w:t>2.3. The appointment shall be approved by [Chief Executive Officer / Board / Executive Committee / General Counsel] or another authorised governance body designated by the organisation.</w:t>
      </w:r>
    </w:p>
    <w:p>
      <w:r>
        <w:t>2.4. The organisation shall maintain a formal Data Protection Officer appointment record.</w:t>
      </w:r>
    </w:p>
    <w:tbl>
      <w:tblPr>
        <w:tblStyle w:val="TableGrid"/>
        <w:tblW w:type="auto" w:w="0"/>
        <w:tblLook w:firstColumn="1" w:firstRow="1" w:lastColumn="0" w:lastRow="0" w:noHBand="0" w:noVBand="1" w:val="04A0"/>
      </w:tblPr>
      <w:tblGrid>
        <w:gridCol w:w="4320"/>
        <w:gridCol w:w="4320"/>
      </w:tblGrid>
      <w:tr>
        <w:tc>
          <w:tcPr>
            <w:tcW w:type="dxa" w:w="4320"/>
          </w:tcPr>
          <w:p>
            <w:r>
              <w:t>Required Appointment Record</w:t>
            </w:r>
          </w:p>
        </w:tc>
        <w:tc>
          <w:tcPr>
            <w:tcW w:type="dxa" w:w="4320"/>
          </w:tcPr>
          <w:p>
            <w:r>
              <w:t>Minimum Content</w:t>
            </w:r>
          </w:p>
        </w:tc>
      </w:tr>
      <w:tr>
        <w:tc>
          <w:tcPr>
            <w:tcW w:type="dxa" w:w="4320"/>
          </w:tcPr>
          <w:p>
            <w:r>
              <w:t>Appointment decision</w:t>
            </w:r>
          </w:p>
        </w:tc>
        <w:tc>
          <w:tcPr>
            <w:tcW w:type="dxa" w:w="4320"/>
          </w:tcPr>
          <w:p>
            <w:r>
              <w:t>Reason for appointment and applicable processing triggers</w:t>
            </w:r>
          </w:p>
        </w:tc>
      </w:tr>
      <w:tr>
        <w:tc>
          <w:tcPr>
            <w:tcW w:type="dxa" w:w="4320"/>
          </w:tcPr>
          <w:p>
            <w:r>
              <w:t>Appointed party</w:t>
            </w:r>
          </w:p>
        </w:tc>
        <w:tc>
          <w:tcPr>
            <w:tcW w:type="dxa" w:w="4320"/>
          </w:tcPr>
          <w:p>
            <w:r>
              <w:t>Name, role, department, and contact details, or external provider details</w:t>
            </w:r>
          </w:p>
        </w:tc>
      </w:tr>
      <w:tr>
        <w:tc>
          <w:tcPr>
            <w:tcW w:type="dxa" w:w="4320"/>
          </w:tcPr>
          <w:p>
            <w:r>
              <w:t>Effective date</w:t>
            </w:r>
          </w:p>
        </w:tc>
        <w:tc>
          <w:tcPr>
            <w:tcW w:type="dxa" w:w="4320"/>
          </w:tcPr>
          <w:p>
            <w:r>
              <w:t>Date from which the appointment takes effect</w:t>
            </w:r>
          </w:p>
        </w:tc>
      </w:tr>
      <w:tr>
        <w:tc>
          <w:tcPr>
            <w:tcW w:type="dxa" w:w="4320"/>
          </w:tcPr>
          <w:p>
            <w:r>
              <w:t>Reporting line</w:t>
            </w:r>
          </w:p>
        </w:tc>
        <w:tc>
          <w:tcPr>
            <w:tcW w:type="dxa" w:w="4320"/>
          </w:tcPr>
          <w:p>
            <w:r>
              <w:t>Functional and administrative reporting arrangements</w:t>
            </w:r>
          </w:p>
        </w:tc>
      </w:tr>
      <w:tr>
        <w:tc>
          <w:tcPr>
            <w:tcW w:type="dxa" w:w="4320"/>
          </w:tcPr>
          <w:p>
            <w:r>
              <w:t>Authority</w:t>
            </w:r>
          </w:p>
        </w:tc>
        <w:tc>
          <w:tcPr>
            <w:tcW w:type="dxa" w:w="4320"/>
          </w:tcPr>
          <w:p>
            <w:r>
              <w:t>Access rights, escalation rights, and decision advisory role</w:t>
            </w:r>
          </w:p>
        </w:tc>
      </w:tr>
      <w:tr>
        <w:tc>
          <w:tcPr>
            <w:tcW w:type="dxa" w:w="4320"/>
          </w:tcPr>
          <w:p>
            <w:r>
              <w:t>Independence assessment</w:t>
            </w:r>
          </w:p>
        </w:tc>
        <w:tc>
          <w:tcPr>
            <w:tcW w:type="dxa" w:w="4320"/>
          </w:tcPr>
          <w:p>
            <w:r>
              <w:t>Confirmation that conflicts of interest have been considered</w:t>
            </w:r>
          </w:p>
        </w:tc>
      </w:tr>
      <w:tr>
        <w:tc>
          <w:tcPr>
            <w:tcW w:type="dxa" w:w="4320"/>
          </w:tcPr>
          <w:p>
            <w:r>
              <w:t>Resource commitment</w:t>
            </w:r>
          </w:p>
        </w:tc>
        <w:tc>
          <w:tcPr>
            <w:tcW w:type="dxa" w:w="4320"/>
          </w:tcPr>
          <w:p>
            <w:r>
              <w:t>Budget, tools, personnel, and support available</w:t>
            </w:r>
          </w:p>
        </w:tc>
      </w:tr>
      <w:tr>
        <w:tc>
          <w:tcPr>
            <w:tcW w:type="dxa" w:w="4320"/>
          </w:tcPr>
          <w:p>
            <w:r>
              <w:t>Approval</w:t>
            </w:r>
          </w:p>
        </w:tc>
        <w:tc>
          <w:tcPr>
            <w:tcW w:type="dxa" w:w="4320"/>
          </w:tcPr>
          <w:p>
            <w:r>
              <w:t>Approver name, title, signature or electronic approval, and date</w:t>
            </w:r>
          </w:p>
        </w:tc>
      </w:tr>
      <w:tr>
        <w:tc>
          <w:tcPr>
            <w:tcW w:type="dxa" w:w="4320"/>
          </w:tcPr>
          <w:p>
            <w:r>
              <w:t>Review date</w:t>
            </w:r>
          </w:p>
        </w:tc>
        <w:tc>
          <w:tcPr>
            <w:tcW w:type="dxa" w:w="4320"/>
          </w:tcPr>
          <w:p>
            <w:r>
              <w:t>Date for next appointment review</w:t>
            </w:r>
          </w:p>
        </w:tc>
      </w:tr>
    </w:tbl>
    <w:p>
      <w:pPr>
        <w:pStyle w:val="ListBullet"/>
      </w:pPr>
      <w:r>
        <w:t>Eligibility and Competence</w:t>
      </w:r>
    </w:p>
    <w:p>
      <w:r>
        <w:t>3.1. The Data Protection Officer shall possess appropriate knowledge of Saudi personal data protection requirements, privacy governance, information security, risk management, regulatory engagement, and organisational processing activities.</w:t>
      </w:r>
    </w:p>
    <w:p>
      <w:r>
        <w:t>3.2. The Data Protection Officer shall have sufficient professional experience and practical capability to advise on personal data protection risks and compliance obligations.</w:t>
      </w:r>
    </w:p>
    <w:p>
      <w:r>
        <w:t>3.3. The organisation shall ensure that the Data Protection Officer has access to ongoing professional development, regulatory updates, internal training, and relevant subject matter experts.</w:t>
      </w:r>
    </w:p>
    <w:p>
      <w:r>
        <w:t>3.4. Where the Data Protection Officer is an external provider, the organisation shall verify professional competence, independence, availability, confidentiality commitments, and ability to fulfil the role effectively.</w:t>
      </w:r>
    </w:p>
    <w:p>
      <w:r>
        <w:t>3.5. The Data Protection Officer shall understand the organisation’s processing environment, including high-risk systems, data flows, third-party processing arrangements, cross-border transfers, retention practices, consent management, data subject rights processes, and breach response arrangements.</w:t>
      </w:r>
    </w:p>
    <w:p>
      <w:pPr>
        <w:pStyle w:val="ListBullet"/>
      </w:pPr>
      <w:r>
        <w:t>Independence and Conflict of Interest</w:t>
      </w:r>
    </w:p>
    <w:p>
      <w:r>
        <w:t>4.1. The Data Protection Officer shall perform duties with sufficient independence and objectivity.</w:t>
      </w:r>
    </w:p>
    <w:p>
      <w:r>
        <w:t>4.2. The Data Protection Officer shall not be instructed to reach a particular conclusion on a data protection matter or to suppress, delay, or alter professional advice.</w:t>
      </w:r>
    </w:p>
    <w:p>
      <w:r>
        <w:t>4.3. The organisation shall not dismiss, penalise, disadvantage, or retaliate against the Data Protection Officer for performing assigned data protection duties in good faith.</w:t>
      </w:r>
    </w:p>
    <w:p>
      <w:r>
        <w:t>4.4. The Data Protection Officer shall not hold a role or responsibility that creates a conflict between protecting personal data and determining the purposes, means, or commercial objectives of processing.</w:t>
      </w:r>
    </w:p>
    <w:p>
      <w:r>
        <w:t>4.5. Roles that may create a conflict of interest shall be assessed before appointment and periodically thereafter. These may include, depending on the organisation’s structure, senior roles in information technology, marketing, human resources, operations, product ownership, security operations, analytics, or business units that decide how personal data is processed.</w:t>
      </w:r>
    </w:p>
    <w:p>
      <w:r>
        <w:t>4.6. Any actual, potential, or perceived conflict of interest involving the Data Protection Officer shall be disclosed promptly to [Legal &amp; Compliance / Privacy Office / Risk Committee] and resolved through documented mitigation measures.</w:t>
      </w:r>
    </w:p>
    <w:tbl>
      <w:tblPr>
        <w:tblStyle w:val="TableGrid"/>
        <w:tblW w:type="auto" w:w="0"/>
        <w:tblLook w:firstColumn="1" w:firstRow="1" w:lastColumn="0" w:lastRow="0" w:noHBand="0" w:noVBand="1" w:val="04A0"/>
      </w:tblPr>
      <w:tblGrid>
        <w:gridCol w:w="4320"/>
        <w:gridCol w:w="4320"/>
      </w:tblGrid>
      <w:tr>
        <w:tc>
          <w:tcPr>
            <w:tcW w:type="dxa" w:w="4320"/>
          </w:tcPr>
          <w:p>
            <w:r>
              <w:t>Conflict Scenario</w:t>
            </w:r>
          </w:p>
        </w:tc>
        <w:tc>
          <w:tcPr>
            <w:tcW w:type="dxa" w:w="4320"/>
          </w:tcPr>
          <w:p>
            <w:r>
              <w:t>Required Action</w:t>
            </w:r>
          </w:p>
        </w:tc>
      </w:tr>
      <w:tr>
        <w:tc>
          <w:tcPr>
            <w:tcW w:type="dxa" w:w="4320"/>
          </w:tcPr>
          <w:p>
            <w:r>
              <w:t>Data Protection Officer owns or approves the processing activity under review</w:t>
            </w:r>
          </w:p>
        </w:tc>
        <w:tc>
          <w:tcPr>
            <w:tcW w:type="dxa" w:w="4320"/>
          </w:tcPr>
          <w:p>
            <w:r>
              <w:t>Assign independent review to Legal, Compliance, Internal Audit, or an external adviser</w:t>
            </w:r>
          </w:p>
        </w:tc>
      </w:tr>
      <w:tr>
        <w:tc>
          <w:tcPr>
            <w:tcW w:type="dxa" w:w="4320"/>
          </w:tcPr>
          <w:p>
            <w:r>
              <w:t>Data Protection Officer reports to a role with direct commercial pressure over the matter</w:t>
            </w:r>
          </w:p>
        </w:tc>
        <w:tc>
          <w:tcPr>
            <w:tcW w:type="dxa" w:w="4320"/>
          </w:tcPr>
          <w:p>
            <w:r>
              <w:t>Escalate to an independent executive sponsor or governance committee</w:t>
            </w:r>
          </w:p>
        </w:tc>
      </w:tr>
      <w:tr>
        <w:tc>
          <w:tcPr>
            <w:tcW w:type="dxa" w:w="4320"/>
          </w:tcPr>
          <w:p>
            <w:r>
              <w:t>External provider also supplies systems or services being assessed</w:t>
            </w:r>
          </w:p>
        </w:tc>
        <w:tc>
          <w:tcPr>
            <w:tcW w:type="dxa" w:w="4320"/>
          </w:tcPr>
          <w:p>
            <w:r>
              <w:t>Conduct conflict review and use an alternate reviewer if independence is impaired</w:t>
            </w:r>
          </w:p>
        </w:tc>
      </w:tr>
      <w:tr>
        <w:tc>
          <w:tcPr>
            <w:tcW w:type="dxa" w:w="4320"/>
          </w:tcPr>
          <w:p>
            <w:r>
              <w:t>Data Protection Officer has personal involvement in an incident under investigation</w:t>
            </w:r>
          </w:p>
        </w:tc>
        <w:tc>
          <w:tcPr>
            <w:tcW w:type="dxa" w:w="4320"/>
          </w:tcPr>
          <w:p>
            <w:r>
              <w:t>Appoint an independent incident privacy adviser for that matter</w:t>
            </w:r>
          </w:p>
        </w:tc>
      </w:tr>
    </w:tbl>
    <w:p>
      <w:pPr>
        <w:pStyle w:val="ListBullet"/>
      </w:pPr>
      <w:r>
        <w:t>Reporting Line and Organisational Position</w:t>
      </w:r>
    </w:p>
    <w:p>
      <w:r>
        <w:t>5.1. The Data Protection Officer shall have direct access to senior management and relevant governance committees for matters involving personal data protection risks, compliance issues, incidents, or regulatory engagement.</w:t>
      </w:r>
    </w:p>
    <w:p>
      <w:r>
        <w:t>5.2. The Data Protection Officer shall report functionally to [General Counsel / Chief Compliance Officer / Chief Risk Officer / Board Committee] and shall have an escalation route to [Chief Executive Officer / Board / Executive Committee] where necessary.</w:t>
      </w:r>
    </w:p>
    <w:p>
      <w:r>
        <w:t>5.3. The organisation shall ensure that the Data Protection Officer is positioned to influence decisions before personal data processing begins or materially changes.</w:t>
      </w:r>
    </w:p>
    <w:p>
      <w:r>
        <w:t>5.4. The Data Protection Officer shall be invited to relevant meetings and decision processes involving high-risk processing, new systems, sensitive personal data, data sharing, outsourcing, surveillance, profiling, analytics, artificial intelligence, data monetisation, direct marketing, or cross-border transfers.</w:t>
      </w:r>
    </w:p>
    <w:p>
      <w:pPr>
        <w:pStyle w:val="ListBullet"/>
      </w:pPr>
      <w:r>
        <w:t>Involvement in Data Protection Matters</w:t>
      </w:r>
    </w:p>
    <w:p>
      <w:r>
        <w:t>6.1. Business units shall involve the Data Protection Officer at the earliest practical stage of projects, initiatives, procurements, contracts, system changes, campaigns, or operational changes involving personal data.</w:t>
      </w:r>
    </w:p>
    <w:p>
      <w:r>
        <w:t>6.2. The Data Protection Officer shall be consulted before the organisation launches or materially changes any processing activity that may affect individual privacy rights or involve sensitive personal data.</w:t>
      </w:r>
    </w:p>
    <w:p>
      <w:r>
        <w:t>6.3. The Data Protection Officer shall review and advise on privacy impact assessments, legitimate need assessments, consent approaches, privacy notices, data sharing arrangements, retention practices, data subject rights processes, incident assessments, and cross-border transfer controls.</w:t>
      </w:r>
    </w:p>
    <w:p>
      <w:r>
        <w:t>6.4. The Data Protection Officer shall have access to information necessary to perform the role, including data inventories, processing records, contracts, system architecture, audit reports, risk assessments, incident records, data subject request logs, vendor assessments, and training records.</w:t>
      </w:r>
    </w:p>
    <w:p>
      <w:r>
        <w:t>6.5. No business unit shall intentionally bypass, delay, or exclude the Data Protection Officer from matters requiring privacy review.</w:t>
      </w:r>
    </w:p>
    <w:p>
      <w:pPr>
        <w:pStyle w:val="ListBullet"/>
      </w:pPr>
      <w:r>
        <w:t>Duties of the Data Protection Officer</w:t>
      </w:r>
    </w:p>
    <w:p>
      <w:r>
        <w:t>7.1. The Data Protection Officer shall advise the organisation and its personnel on personal data protection obligations and practical compliance requirements.</w:t>
      </w:r>
    </w:p>
    <w:p>
      <w:r>
        <w:t>7.2. The Data Protection Officer shall monitor the organisation’s compliance with applicable personal data protection requirements, internal privacy policies, privacy notices, procedures, and approved risk treatments.</w:t>
      </w:r>
    </w:p>
    <w:p>
      <w:r>
        <w:t>7.3. The Data Protection Officer shall support the maintenance of the organisation’s personal data inventory and records of processing activities.</w:t>
      </w:r>
    </w:p>
    <w:p>
      <w:r>
        <w:t>7.4. The Data Protection Officer shall advise on the design and execution of privacy impact assessments for processing activities that may create heightened risks for individuals.</w:t>
      </w:r>
    </w:p>
    <w:p>
      <w:r>
        <w:t>7.5. The Data Protection Officer shall advise on the handling of data subject rights requests, including requests relating to access, correction, completion, destruction, withdrawal of consent, and other applicable rights.</w:t>
      </w:r>
    </w:p>
    <w:p>
      <w:r>
        <w:t>7.6. The Data Protection Officer shall support incident response teams in assessing personal data breaches, notification considerations, mitigation actions, root cause analysis, and lessons learned.</w:t>
      </w:r>
    </w:p>
    <w:p>
      <w:r>
        <w:t>7.7. The Data Protection Officer shall provide advice on privacy notices, consent mechanisms, data minimisation, retention, data sharing, processor arrangements, and cross-border transfers.</w:t>
      </w:r>
    </w:p>
    <w:p>
      <w:r>
        <w:t>7.8. The Data Protection Officer shall promote awareness and training on privacy responsibilities across the organisation.</w:t>
      </w:r>
    </w:p>
    <w:p>
      <w:r>
        <w:t>7.9. The Data Protection Officer shall act as a contact point for data subjects, regulators, and authorised external parties on matters relating to personal data protection.</w:t>
      </w:r>
    </w:p>
    <w:p>
      <w:r>
        <w:t>7.10. The Data Protection Officer shall prepare periodic reporting to senior management on privacy risks, compliance status, incidents, remediation progress, and emerging regulatory developments.</w:t>
      </w:r>
    </w:p>
    <w:p>
      <w:pPr>
        <w:pStyle w:val="ListBullet"/>
      </w:pPr>
      <w:r>
        <w:t>Resources and Support</w:t>
      </w:r>
    </w:p>
    <w:p>
      <w:r>
        <w:t>8.1. The organisation shall provide the Data Protection Officer with adequate resources to perform assigned duties effectively.</w:t>
      </w:r>
    </w:p>
    <w:p>
      <w:r>
        <w:t>8.2. Resources shall include, as appropriate, access to personnel, budget, legal advice, technical expertise, information security support, audit support, privacy management tools, training platforms, and external specialist support.</w:t>
      </w:r>
    </w:p>
    <w:p>
      <w:r>
        <w:t>8.3. The organisation shall ensure that the Data Protection Officer has sufficient time and capacity to carry out the role, particularly where the Data Protection Officer has other responsibilities.</w:t>
      </w:r>
    </w:p>
    <w:p>
      <w:r>
        <w:t>8.4. Business units shall cooperate with the Data Protection Officer and shall provide requested information within reasonable timeframes.</w:t>
      </w:r>
    </w:p>
    <w:tbl>
      <w:tblPr>
        <w:tblStyle w:val="TableGrid"/>
        <w:tblW w:type="auto" w:w="0"/>
        <w:tblLook w:firstColumn="1" w:firstRow="1" w:lastColumn="0" w:lastRow="0" w:noHBand="0" w:noVBand="1" w:val="04A0"/>
      </w:tblPr>
      <w:tblGrid>
        <w:gridCol w:w="4320"/>
        <w:gridCol w:w="4320"/>
      </w:tblGrid>
      <w:tr>
        <w:tc>
          <w:tcPr>
            <w:tcW w:type="dxa" w:w="4320"/>
          </w:tcPr>
          <w:p>
            <w:r>
              <w:t>Request Type</w:t>
            </w:r>
          </w:p>
        </w:tc>
        <w:tc>
          <w:tcPr>
            <w:tcW w:type="dxa" w:w="4320"/>
          </w:tcPr>
          <w:p>
            <w:r>
              <w:t>Standard Response Time</w:t>
            </w:r>
          </w:p>
        </w:tc>
      </w:tr>
      <w:tr>
        <w:tc>
          <w:tcPr>
            <w:tcW w:type="dxa" w:w="4320"/>
          </w:tcPr>
          <w:p>
            <w:r>
              <w:t>Routine privacy advice request</w:t>
            </w:r>
          </w:p>
        </w:tc>
        <w:tc>
          <w:tcPr>
            <w:tcW w:type="dxa" w:w="4320"/>
          </w:tcPr>
          <w:p>
            <w:r>
              <w:t>Within 5 business days</w:t>
            </w:r>
          </w:p>
        </w:tc>
      </w:tr>
      <w:tr>
        <w:tc>
          <w:tcPr>
            <w:tcW w:type="dxa" w:w="4320"/>
          </w:tcPr>
          <w:p>
            <w:r>
              <w:t>Review of standard privacy notice or contract privacy wording</w:t>
            </w:r>
          </w:p>
        </w:tc>
        <w:tc>
          <w:tcPr>
            <w:tcW w:type="dxa" w:w="4320"/>
          </w:tcPr>
          <w:p>
            <w:r>
              <w:t>Within 10 business days</w:t>
            </w:r>
          </w:p>
        </w:tc>
      </w:tr>
      <w:tr>
        <w:tc>
          <w:tcPr>
            <w:tcW w:type="dxa" w:w="4320"/>
          </w:tcPr>
          <w:p>
            <w:r>
              <w:t>Review of high-risk processing proposal</w:t>
            </w:r>
          </w:p>
        </w:tc>
        <w:tc>
          <w:tcPr>
            <w:tcW w:type="dxa" w:w="4320"/>
          </w:tcPr>
          <w:p>
            <w:r>
              <w:t>Within 15 business days, subject to complexity</w:t>
            </w:r>
          </w:p>
        </w:tc>
      </w:tr>
      <w:tr>
        <w:tc>
          <w:tcPr>
            <w:tcW w:type="dxa" w:w="4320"/>
          </w:tcPr>
          <w:p>
            <w:r>
              <w:t>Personal data breach support</w:t>
            </w:r>
          </w:p>
        </w:tc>
        <w:tc>
          <w:tcPr>
            <w:tcW w:type="dxa" w:w="4320"/>
          </w:tcPr>
          <w:p>
            <w:r>
              <w:t>Immediate engagement upon identification</w:t>
            </w:r>
          </w:p>
        </w:tc>
      </w:tr>
      <w:tr>
        <w:tc>
          <w:tcPr>
            <w:tcW w:type="dxa" w:w="4320"/>
          </w:tcPr>
          <w:p>
            <w:r>
              <w:t>Regulatory or data subject escalation</w:t>
            </w:r>
          </w:p>
        </w:tc>
        <w:tc>
          <w:tcPr>
            <w:tcW w:type="dxa" w:w="4320"/>
          </w:tcPr>
          <w:p>
            <w:r>
              <w:t>Same business day where urgent, otherwise within 2 business days</w:t>
            </w:r>
          </w:p>
        </w:tc>
      </w:tr>
      <w:tr>
        <w:tc>
          <w:tcPr>
            <w:tcW w:type="dxa" w:w="4320"/>
          </w:tcPr>
          <w:p>
            <w:r>
              <w:t>Evidence request for audit or compliance monitoring</w:t>
            </w:r>
          </w:p>
        </w:tc>
        <w:tc>
          <w:tcPr>
            <w:tcW w:type="dxa" w:w="4320"/>
          </w:tcPr>
          <w:p>
            <w:r>
              <w:t>Within 5 business days unless otherwise agreed</w:t>
            </w:r>
          </w:p>
        </w:tc>
      </w:tr>
    </w:tbl>
    <w:p>
      <w:pPr>
        <w:pStyle w:val="ListBullet"/>
      </w:pPr>
      <w:r>
        <w:t>Data Subject and Regulator Contact</w:t>
      </w:r>
    </w:p>
    <w:p>
      <w:r>
        <w:t>9.1. The organisation shall publish or make available appropriate contact details for the Data Protection Officer or designated privacy contact point where required or appropriate.</w:t>
      </w:r>
    </w:p>
    <w:p>
      <w:r>
        <w:t>9.2. Data subjects shall be able to contact the organisation regarding personal data protection matters through accessible communication channels.</w:t>
      </w:r>
    </w:p>
    <w:p>
      <w:r>
        <w:t>9.3. The Data Protection Officer shall support the organisation’s response to enquiries, complaints, and requests from data subjects relating to personal data.</w:t>
      </w:r>
    </w:p>
    <w:p>
      <w:r>
        <w:t>9.4. Communications with regulators regarding personal data protection matters shall be coordinated through the Data Protection Officer, Legal, Compliance, or another authorised function as determined by the organisation.</w:t>
      </w:r>
    </w:p>
    <w:p>
      <w:r>
        <w:t>9.5. The organisation shall ensure that regulator communications are accurate, timely, complete, and approved through appropriate internal channels before submission.</w:t>
      </w:r>
    </w:p>
    <w:p>
      <w:pPr>
        <w:pStyle w:val="ListBullet"/>
      </w:pPr>
      <w:r>
        <w:t>Privacy Governance and Committee Participation</w:t>
      </w:r>
    </w:p>
    <w:p>
      <w:r>
        <w:t>10.1. The Data Protection Officer shall participate in relevant governance forums where personal data risks are reviewed and decisions are made.</w:t>
      </w:r>
    </w:p>
    <w:p>
      <w:r>
        <w:t>10.2. The Data Protection Officer shall provide independent advice to governance committees but shall not be solely accountable for business decisions regarding processing operations.</w:t>
      </w:r>
    </w:p>
    <w:p>
      <w:r>
        <w:t>10.3. The organisation shall maintain a privacy governance structure that enables escalation of unresolved privacy risks, overdue remediation, repeated non-compliance, material incidents, and high-risk processing decisions.</w:t>
      </w:r>
    </w:p>
    <w:p>
      <w:r>
        <w:t>10.4. Where a business unit proceeds against Data Protection Officer advice, the decision, rationale, risk acceptance, and approving authority shall be documented.</w:t>
      </w:r>
    </w:p>
    <w:p>
      <w:pPr>
        <w:pStyle w:val="ListBullet"/>
      </w:pPr>
      <w:r>
        <w:t>Processing Activity Assessment and Appointment Triggers</w:t>
      </w:r>
    </w:p>
    <w:p>
      <w:r>
        <w:t>11.1. The organisation shall assess processing activities to determine whether they trigger the need for Data Protection Officer appointment or enhanced Data Protection Officer involvement.</w:t>
      </w:r>
    </w:p>
    <w:p>
      <w:r>
        <w:t>11.2. The assessment shall consider the volume of individuals affected, type of personal data, sensitivity of data, monitoring frequency, technology used, processing duration, geographic scope, third-party involvement, potential harm, and ability of individuals to control the processing.</w:t>
      </w:r>
    </w:p>
    <w:p>
      <w:r>
        <w:t>11.3. The following activities shall require Data Protection Officer review before implementation.</w:t>
      </w:r>
    </w:p>
    <w:tbl>
      <w:tblPr>
        <w:tblStyle w:val="TableGrid"/>
        <w:tblW w:type="auto" w:w="0"/>
        <w:tblLook w:firstColumn="1" w:firstRow="1" w:lastColumn="0" w:lastRow="0" w:noHBand="0" w:noVBand="1" w:val="04A0"/>
      </w:tblPr>
      <w:tblGrid>
        <w:gridCol w:w="4320"/>
        <w:gridCol w:w="4320"/>
      </w:tblGrid>
      <w:tr>
        <w:tc>
          <w:tcPr>
            <w:tcW w:type="dxa" w:w="4320"/>
          </w:tcPr>
          <w:p>
            <w:r>
              <w:t>Processing Activity</w:t>
            </w:r>
          </w:p>
        </w:tc>
        <w:tc>
          <w:tcPr>
            <w:tcW w:type="dxa" w:w="4320"/>
          </w:tcPr>
          <w:p>
            <w:r>
              <w:t>Data Protection Officer Review Required</w:t>
            </w:r>
          </w:p>
        </w:tc>
      </w:tr>
      <w:tr>
        <w:tc>
          <w:tcPr>
            <w:tcW w:type="dxa" w:w="4320"/>
          </w:tcPr>
          <w:p>
            <w:r>
              <w:t>Continuous monitoring of employees, customers, users, visitors, or vehicles</w:t>
            </w:r>
          </w:p>
        </w:tc>
        <w:tc>
          <w:tcPr>
            <w:tcW w:type="dxa" w:w="4320"/>
          </w:tcPr>
          <w:p>
            <w:r>
              <w:t>Yes</w:t>
            </w:r>
          </w:p>
        </w:tc>
      </w:tr>
      <w:tr>
        <w:tc>
          <w:tcPr>
            <w:tcW w:type="dxa" w:w="4320"/>
          </w:tcPr>
          <w:p>
            <w:r>
              <w:t>Use of biometric identification, health data, genetic data, or other sensitive data</w:t>
            </w:r>
          </w:p>
        </w:tc>
        <w:tc>
          <w:tcPr>
            <w:tcW w:type="dxa" w:w="4320"/>
          </w:tcPr>
          <w:p>
            <w:r>
              <w:t>Yes</w:t>
            </w:r>
          </w:p>
        </w:tc>
      </w:tr>
      <w:tr>
        <w:tc>
          <w:tcPr>
            <w:tcW w:type="dxa" w:w="4320"/>
          </w:tcPr>
          <w:p>
            <w:r>
              <w:t>Large-scale customer analytics, profiling, or segmentation</w:t>
            </w:r>
          </w:p>
        </w:tc>
        <w:tc>
          <w:tcPr>
            <w:tcW w:type="dxa" w:w="4320"/>
          </w:tcPr>
          <w:p>
            <w:r>
              <w:t>Yes</w:t>
            </w:r>
          </w:p>
        </w:tc>
      </w:tr>
      <w:tr>
        <w:tc>
          <w:tcPr>
            <w:tcW w:type="dxa" w:w="4320"/>
          </w:tcPr>
          <w:p>
            <w:r>
              <w:t>Artificial intelligence or automated decision-support involving personal data</w:t>
            </w:r>
          </w:p>
        </w:tc>
        <w:tc>
          <w:tcPr>
            <w:tcW w:type="dxa" w:w="4320"/>
          </w:tcPr>
          <w:p>
            <w:r>
              <w:t>Yes</w:t>
            </w:r>
          </w:p>
        </w:tc>
      </w:tr>
      <w:tr>
        <w:tc>
          <w:tcPr>
            <w:tcW w:type="dxa" w:w="4320"/>
          </w:tcPr>
          <w:p>
            <w:r>
              <w:t>New customer-facing digital platform collecting personal data</w:t>
            </w:r>
          </w:p>
        </w:tc>
        <w:tc>
          <w:tcPr>
            <w:tcW w:type="dxa" w:w="4320"/>
          </w:tcPr>
          <w:p>
            <w:r>
              <w:t>Yes</w:t>
            </w:r>
          </w:p>
        </w:tc>
      </w:tr>
      <w:tr>
        <w:tc>
          <w:tcPr>
            <w:tcW w:type="dxa" w:w="4320"/>
          </w:tcPr>
          <w:p>
            <w:r>
              <w:t>Marketing campaigns using personal data from multiple sources</w:t>
            </w:r>
          </w:p>
        </w:tc>
        <w:tc>
          <w:tcPr>
            <w:tcW w:type="dxa" w:w="4320"/>
          </w:tcPr>
          <w:p>
            <w:r>
              <w:t>Yes</w:t>
            </w:r>
          </w:p>
        </w:tc>
      </w:tr>
      <w:tr>
        <w:tc>
          <w:tcPr>
            <w:tcW w:type="dxa" w:w="4320"/>
          </w:tcPr>
          <w:p>
            <w:r>
              <w:t>Cross-border transfer or remote access to personal data</w:t>
            </w:r>
          </w:p>
        </w:tc>
        <w:tc>
          <w:tcPr>
            <w:tcW w:type="dxa" w:w="4320"/>
          </w:tcPr>
          <w:p>
            <w:r>
              <w:t>Yes</w:t>
            </w:r>
          </w:p>
        </w:tc>
      </w:tr>
      <w:tr>
        <w:tc>
          <w:tcPr>
            <w:tcW w:type="dxa" w:w="4320"/>
          </w:tcPr>
          <w:p>
            <w:r>
              <w:t>New outsourcing arrangement involving personal data processing</w:t>
            </w:r>
          </w:p>
        </w:tc>
        <w:tc>
          <w:tcPr>
            <w:tcW w:type="dxa" w:w="4320"/>
          </w:tcPr>
          <w:p>
            <w:r>
              <w:t>Yes</w:t>
            </w:r>
          </w:p>
        </w:tc>
      </w:tr>
      <w:tr>
        <w:tc>
          <w:tcPr>
            <w:tcW w:type="dxa" w:w="4320"/>
          </w:tcPr>
          <w:p>
            <w:r>
              <w:t>Introduction of CCTV, access control logs, or location tracking</w:t>
            </w:r>
          </w:p>
        </w:tc>
        <w:tc>
          <w:tcPr>
            <w:tcW w:type="dxa" w:w="4320"/>
          </w:tcPr>
          <w:p>
            <w:r>
              <w:t>Yes</w:t>
            </w:r>
          </w:p>
        </w:tc>
      </w:tr>
      <w:tr>
        <w:tc>
          <w:tcPr>
            <w:tcW w:type="dxa" w:w="4320"/>
          </w:tcPr>
          <w:p>
            <w:r>
              <w:t>Material changes to retention, deletion, or archival practices</w:t>
            </w:r>
          </w:p>
        </w:tc>
        <w:tc>
          <w:tcPr>
            <w:tcW w:type="dxa" w:w="4320"/>
          </w:tcPr>
          <w:p>
            <w:r>
              <w:t>Yes</w:t>
            </w:r>
          </w:p>
        </w:tc>
      </w:tr>
    </w:tbl>
    <w:p>
      <w:pPr>
        <w:pStyle w:val="ListBullet"/>
      </w:pPr>
      <w:r>
        <w:t>External Data Protection Officer</w:t>
      </w:r>
    </w:p>
    <w:p>
      <w:r>
        <w:t>12.1. The organisation may appoint an external Data Protection Officer where this provides appropriate expertise, independence, capacity, and availability.</w:t>
      </w:r>
    </w:p>
    <w:p>
      <w:r>
        <w:t>12.2. An external Data Protection Officer shall be appointed under a written agreement defining scope of services, confidentiality obligations, service levels, escalation routes, access rights, deliverables, independence requirements, and termination arrangements.</w:t>
      </w:r>
    </w:p>
    <w:p>
      <w:r>
        <w:t>12.3. The external Data Protection Officer shall be given sufficient access to information, personnel, and governance forums to perform the role effectively.</w:t>
      </w:r>
    </w:p>
    <w:p>
      <w:r>
        <w:t>12.4. The organisation shall remain accountable for personal data protection compliance and shall not transfer accountability to the external Data Protection Officer.</w:t>
      </w:r>
    </w:p>
    <w:p>
      <w:pPr>
        <w:pStyle w:val="ListBullet"/>
      </w:pPr>
      <w:r>
        <w:t>Records and Evidence</w:t>
      </w:r>
    </w:p>
    <w:p>
      <w:r>
        <w:t>13.1. The organisation shall maintain records demonstrating the appointment, involvement, advice, and oversight activities of the Data Protection Officer.</w:t>
      </w:r>
    </w:p>
    <w:p>
      <w:r>
        <w:t>13.2. Records shall be accurate, current, retrievable, and protected against unauthorised access or alteration.</w:t>
      </w:r>
    </w:p>
    <w:p>
      <w:r>
        <w:t>13.3. At a minimum, the organisation shall retain the following records.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Owner</w:t>
            </w:r>
          </w:p>
        </w:tc>
        <w:tc>
          <w:tcPr>
            <w:tcW w:type="dxa" w:w="2880"/>
          </w:tcPr>
          <w:p>
            <w:r>
              <w:t>Minimum Retention</w:t>
            </w:r>
          </w:p>
        </w:tc>
      </w:tr>
      <w:tr>
        <w:tc>
          <w:tcPr>
            <w:tcW w:type="dxa" w:w="2880"/>
          </w:tcPr>
          <w:p>
            <w:r>
              <w:t>Data Protection Officer appointment record</w:t>
            </w:r>
          </w:p>
        </w:tc>
        <w:tc>
          <w:tcPr>
            <w:tcW w:type="dxa" w:w="2880"/>
          </w:tcPr>
          <w:p>
            <w:r>
              <w:t>Privacy Office / Legal &amp; Compliance</w:t>
            </w:r>
          </w:p>
        </w:tc>
        <w:tc>
          <w:tcPr>
            <w:tcW w:type="dxa" w:w="2880"/>
          </w:tcPr>
          <w:p>
            <w:r>
              <w:t>Duration of appointment plus 6 years</w:t>
            </w:r>
          </w:p>
        </w:tc>
      </w:tr>
      <w:tr>
        <w:tc>
          <w:tcPr>
            <w:tcW w:type="dxa" w:w="2880"/>
          </w:tcPr>
          <w:p>
            <w:r>
              <w:t>Conflict of interest assessments</w:t>
            </w:r>
          </w:p>
        </w:tc>
        <w:tc>
          <w:tcPr>
            <w:tcW w:type="dxa" w:w="2880"/>
          </w:tcPr>
          <w:p>
            <w:r>
              <w:t>Privacy Office / Legal &amp; Compliance</w:t>
            </w:r>
          </w:p>
        </w:tc>
        <w:tc>
          <w:tcPr>
            <w:tcW w:type="dxa" w:w="2880"/>
          </w:tcPr>
          <w:p>
            <w:r>
              <w:t>6 years</w:t>
            </w:r>
          </w:p>
        </w:tc>
      </w:tr>
      <w:tr>
        <w:tc>
          <w:tcPr>
            <w:tcW w:type="dxa" w:w="2880"/>
          </w:tcPr>
          <w:p>
            <w:r>
              <w:t>Privacy impact assessment advice</w:t>
            </w:r>
          </w:p>
        </w:tc>
        <w:tc>
          <w:tcPr>
            <w:tcW w:type="dxa" w:w="2880"/>
          </w:tcPr>
          <w:p>
            <w:r>
              <w:t>Privacy Office / Project Owner</w:t>
            </w:r>
          </w:p>
        </w:tc>
        <w:tc>
          <w:tcPr>
            <w:tcW w:type="dxa" w:w="2880"/>
          </w:tcPr>
          <w:p>
            <w:r>
              <w:t>Life of processing activity plus 6 years</w:t>
            </w:r>
          </w:p>
        </w:tc>
      </w:tr>
      <w:tr>
        <w:tc>
          <w:tcPr>
            <w:tcW w:type="dxa" w:w="2880"/>
          </w:tcPr>
          <w:p>
            <w:r>
              <w:t>Data subject request advice and escalations</w:t>
            </w:r>
          </w:p>
        </w:tc>
        <w:tc>
          <w:tcPr>
            <w:tcW w:type="dxa" w:w="2880"/>
          </w:tcPr>
          <w:p>
            <w:r>
              <w:t>Privacy Office</w:t>
            </w:r>
          </w:p>
        </w:tc>
        <w:tc>
          <w:tcPr>
            <w:tcW w:type="dxa" w:w="2880"/>
          </w:tcPr>
          <w:p>
            <w:r>
              <w:t>6 years</w:t>
            </w:r>
          </w:p>
        </w:tc>
      </w:tr>
      <w:tr>
        <w:tc>
          <w:tcPr>
            <w:tcW w:type="dxa" w:w="2880"/>
          </w:tcPr>
          <w:p>
            <w:r>
              <w:t>Personal data breach advice and decisions</w:t>
            </w:r>
          </w:p>
        </w:tc>
        <w:tc>
          <w:tcPr>
            <w:tcW w:type="dxa" w:w="2880"/>
          </w:tcPr>
          <w:p>
            <w:r>
              <w:t>Incident Response Team / Privacy Office</w:t>
            </w:r>
          </w:p>
        </w:tc>
        <w:tc>
          <w:tcPr>
            <w:tcW w:type="dxa" w:w="2880"/>
          </w:tcPr>
          <w:p>
            <w:r>
              <w:t>6 years</w:t>
            </w:r>
          </w:p>
        </w:tc>
      </w:tr>
      <w:tr>
        <w:tc>
          <w:tcPr>
            <w:tcW w:type="dxa" w:w="2880"/>
          </w:tcPr>
          <w:p>
            <w:r>
              <w:t>Regulatory communications</w:t>
            </w:r>
          </w:p>
        </w:tc>
        <w:tc>
          <w:tcPr>
            <w:tcW w:type="dxa" w:w="2880"/>
          </w:tcPr>
          <w:p>
            <w:r>
              <w:t>Legal &amp; Compliance</w:t>
            </w:r>
          </w:p>
        </w:tc>
        <w:tc>
          <w:tcPr>
            <w:tcW w:type="dxa" w:w="2880"/>
          </w:tcPr>
          <w:p>
            <w:r>
              <w:t>6 years</w:t>
            </w:r>
          </w:p>
        </w:tc>
      </w:tr>
      <w:tr>
        <w:tc>
          <w:tcPr>
            <w:tcW w:type="dxa" w:w="2880"/>
          </w:tcPr>
          <w:p>
            <w:r>
              <w:t>Privacy governance meeting minutes</w:t>
            </w:r>
          </w:p>
        </w:tc>
        <w:tc>
          <w:tcPr>
            <w:tcW w:type="dxa" w:w="2880"/>
          </w:tcPr>
          <w:p>
            <w:r>
              <w:t>Committee Secretariat</w:t>
            </w:r>
          </w:p>
        </w:tc>
        <w:tc>
          <w:tcPr>
            <w:tcW w:type="dxa" w:w="2880"/>
          </w:tcPr>
          <w:p>
            <w:r>
              <w:t>6 years</w:t>
            </w:r>
          </w:p>
        </w:tc>
      </w:tr>
      <w:tr>
        <w:tc>
          <w:tcPr>
            <w:tcW w:type="dxa" w:w="2880"/>
          </w:tcPr>
          <w:p>
            <w:r>
              <w:t>Training and awareness evidence</w:t>
            </w:r>
          </w:p>
        </w:tc>
        <w:tc>
          <w:tcPr>
            <w:tcW w:type="dxa" w:w="2880"/>
          </w:tcPr>
          <w:p>
            <w:r>
              <w:t>Human Resources / Privacy Office</w:t>
            </w:r>
          </w:p>
        </w:tc>
        <w:tc>
          <w:tcPr>
            <w:tcW w:type="dxa" w:w="2880"/>
          </w:tcPr>
          <w:p>
            <w:r>
              <w:t>6 years</w:t>
            </w:r>
          </w:p>
        </w:tc>
      </w:tr>
      <w:tr>
        <w:tc>
          <w:tcPr>
            <w:tcW w:type="dxa" w:w="2880"/>
          </w:tcPr>
          <w:p>
            <w:r>
              <w:t>DPO periodic reports</w:t>
            </w:r>
          </w:p>
        </w:tc>
        <w:tc>
          <w:tcPr>
            <w:tcW w:type="dxa" w:w="2880"/>
          </w:tcPr>
          <w:p>
            <w:r>
              <w:t>Privacy Office / Compliance</w:t>
            </w:r>
          </w:p>
        </w:tc>
        <w:tc>
          <w:tcPr>
            <w:tcW w:type="dxa" w:w="2880"/>
          </w:tcPr>
          <w:p>
            <w:r>
              <w:t>6 years</w:t>
            </w:r>
          </w:p>
        </w:tc>
      </w:tr>
    </w:tbl>
    <w:p>
      <w:pPr>
        <w:pStyle w:val="ListBullet"/>
      </w:pPr>
      <w:r>
        <w:t>Confidentiality</w:t>
      </w:r>
    </w:p>
    <w:p>
      <w:r>
        <w:t>14.1. The Data Protection Officer shall protect confidential, sensitive, privileged, and personal data accessed in the course of performing the role.</w:t>
      </w:r>
    </w:p>
    <w:p>
      <w:r>
        <w:t>14.2. The Data Protection Officer shall only use information obtained through the role for authorised privacy, compliance, advisory, monitoring, and reporting purposes.</w:t>
      </w:r>
    </w:p>
    <w:p>
      <w:r>
        <w:t>14.3. Where the Data Protection Officer is external, confidentiality and data handling obligations shall be contractually defined before access to organisation information is granted.</w:t>
      </w:r>
    </w:p>
    <w:p>
      <w:pPr>
        <w:pStyle w:val="ListBullet"/>
      </w:pPr>
      <w:r>
        <w:t>Training and Awareness</w:t>
      </w:r>
    </w:p>
    <w:p>
      <w:r>
        <w:t>15.1. The organisation shall ensure that employees and relevant third parties understand when and how to engage the Data Protection Officer.</w:t>
      </w:r>
    </w:p>
    <w:p>
      <w:r>
        <w:t>15.2. Privacy training shall identify the role of the Data Protection Officer, escalation channels, privacy review triggers, breach reporting expectations, and consequences of non-compliance.</w:t>
      </w:r>
    </w:p>
    <w:p>
      <w:r>
        <w:t>15.3. Employees in high-risk functions, including marketing, human resources, information technology, information security, analytics, product development, customer service, procurement, and operations, shall receive role-specific privacy guidance.</w:t>
      </w:r>
    </w:p>
    <w:p>
      <w:pPr>
        <w:pStyle w:val="ListBullet"/>
      </w:pPr>
      <w:r>
        <w:t>Change in Appointment</w:t>
      </w:r>
    </w:p>
    <w:p>
      <w:r>
        <w:t>16.1. Any resignation, replacement, removal, extended absence, or material change in the Data Protection Officer role shall be managed through a controlled transition process.</w:t>
      </w:r>
    </w:p>
    <w:p>
      <w:r>
        <w:t>16.2. The organisation shall ensure continuity of Data Protection Officer duties during vacancy, leave, transition, or external provider change.</w:t>
      </w:r>
    </w:p>
    <w:p>
      <w:r>
        <w:t>16.3. A deputy, interim Data Protection Officer, or authorised privacy contact shall be designated where necessary to maintain continuity.</w:t>
      </w:r>
    </w:p>
    <w:p>
      <w:r>
        <w:t>16.4. The organisation shall update internal contact lists, governance records, public-facing contact details, vendor records, and relevant regulatory or stakeholder communications when the Data Protection Officer appointment changes.</w:t>
      </w:r>
    </w:p>
    <w:p>
      <w:pPr>
        <w:pStyle w:val="ListBullet"/>
      </w:pPr>
      <w:r>
        <w:t>Prohibition on Misuse of the Role</w:t>
      </w:r>
    </w:p>
    <w:p>
      <w:r>
        <w:t>17.1. The Data Protection Officer role shall not be used as a substitute for business ownership of privacy compliance.</w:t>
      </w:r>
    </w:p>
    <w:p>
      <w:r>
        <w:t>17.2. Business units shall remain responsible for ensuring that their processing activities comply with approved privacy requirements.</w:t>
      </w:r>
    </w:p>
    <w:p>
      <w:r>
        <w:t>17.3. The Data Protection Officer shall advise, monitor, challenge, and escalate, but shall not be made solely responsible for implementing controls owned by business, technology, security, human resources, marketing, procurement, or operations teams.</w:t>
      </w:r>
    </w:p>
    <w:p>
      <w:pPr>
        <w:pStyle w:val="ListBullet"/>
      </w:pPr>
      <w:r>
        <w:t>Escalation of Privacy Risks</w:t>
      </w:r>
    </w:p>
    <w:p>
      <w:r>
        <w:t>18.1. The Data Protection Officer shall escalate material privacy risks, repeated non-compliance, unresolved recommendations, significant incidents, or suspected unlawful processing to appropriate senior management.</w:t>
      </w:r>
    </w:p>
    <w:p>
      <w:r>
        <w:t>18.2. Where the risk may cause significant harm to individuals or expose the organisation to material legal, operational, reputational, or regulatory consequences, escalation shall be made without undue delay.</w:t>
      </w:r>
    </w:p>
    <w:p>
      <w:r>
        <w:t>18.3. Escalations shall be documented, including the issue, risk, recommendation, accountable owner, target date, decision, and status.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Executive Committee</w:t>
            </w:r>
          </w:p>
        </w:tc>
        <w:tc>
          <w:tcPr>
            <w:tcW w:type="dxa" w:w="4320"/>
          </w:tcPr>
          <w:p>
            <w:r>
              <w:t>Approves the organisation’s privacy governance direction; ensures appropriate oversight of material personal data risks; supports the independence and authority of the Data Protection Officer; reviews significant escalations where required.</w:t>
            </w:r>
          </w:p>
        </w:tc>
      </w:tr>
      <w:tr>
        <w:tc>
          <w:tcPr>
            <w:tcW w:type="dxa" w:w="4320"/>
          </w:tcPr>
          <w:p>
            <w:r>
              <w:t>Chief Executive Officer / Managing Director</w:t>
            </w:r>
          </w:p>
        </w:tc>
        <w:tc>
          <w:tcPr>
            <w:tcW w:type="dxa" w:w="4320"/>
          </w:tcPr>
          <w:p>
            <w:r>
              <w:t>Ensures organisational support for Data Protection Officer appointment and operation; assigns executive accountability; ensures business units cooperate with privacy governance requirements.</w:t>
            </w:r>
          </w:p>
        </w:tc>
      </w:tr>
      <w:tr>
        <w:tc>
          <w:tcPr>
            <w:tcW w:type="dxa" w:w="4320"/>
          </w:tcPr>
          <w:p>
            <w:r>
              <w:t>General Counsel / Chief Compliance Officer / Chief Risk Officer</w:t>
            </w:r>
          </w:p>
        </w:tc>
        <w:tc>
          <w:tcPr>
            <w:tcW w:type="dxa" w:w="4320"/>
          </w:tcPr>
          <w:p>
            <w:r>
              <w:t>Sponsors the Data Protection Officer function; supports interpretation of legal and regulatory obligations; ensures appropriate reporting, escalation, and governance integration.</w:t>
            </w:r>
          </w:p>
        </w:tc>
      </w:tr>
      <w:tr>
        <w:tc>
          <w:tcPr>
            <w:tcW w:type="dxa" w:w="4320"/>
          </w:tcPr>
          <w:p>
            <w:r>
              <w:t>Data Protection Officer</w:t>
            </w:r>
          </w:p>
        </w:tc>
        <w:tc>
          <w:tcPr>
            <w:tcW w:type="dxa" w:w="4320"/>
          </w:tcPr>
          <w:p>
            <w:r>
              <w:t>Provides independent privacy advice; monitors compliance; supports privacy impact assessments; advises on data subject rights, incidents, notices, consent, sensitive data, data sharing, retention, and cross-border transfers; acts as a contact point for privacy matters; reports privacy risks and compliance status.</w:t>
            </w:r>
          </w:p>
        </w:tc>
      </w:tr>
      <w:tr>
        <w:tc>
          <w:tcPr>
            <w:tcW w:type="dxa" w:w="4320"/>
          </w:tcPr>
          <w:p>
            <w:r>
              <w:t>Privacy Office / Legal &amp; Compliance</w:t>
            </w:r>
          </w:p>
        </w:tc>
        <w:tc>
          <w:tcPr>
            <w:tcW w:type="dxa" w:w="4320"/>
          </w:tcPr>
          <w:p>
            <w:r>
              <w:t>Maintains appointment records, privacy policies, processing records, training materials, compliance monitoring evidence, and governance reporting; coordinates privacy reviews and remediation tracking.</w:t>
            </w:r>
          </w:p>
        </w:tc>
      </w:tr>
      <w:tr>
        <w:tc>
          <w:tcPr>
            <w:tcW w:type="dxa" w:w="4320"/>
          </w:tcPr>
          <w:p>
            <w:r>
              <w:t>Business Unit Heads</w:t>
            </w:r>
          </w:p>
        </w:tc>
        <w:tc>
          <w:tcPr>
            <w:tcW w:type="dxa" w:w="4320"/>
          </w:tcPr>
          <w:p>
            <w:r>
              <w:t>Own compliance for processing activities within their areas; engage the Data Protection Officer early; implement agreed privacy controls; remediate issues; ensure staff follow privacy requirements.</w:t>
            </w:r>
          </w:p>
        </w:tc>
      </w:tr>
      <w:tr>
        <w:tc>
          <w:tcPr>
            <w:tcW w:type="dxa" w:w="4320"/>
          </w:tcPr>
          <w:p>
            <w:r>
              <w:t>Project Owners / Product Owners</w:t>
            </w:r>
          </w:p>
        </w:tc>
        <w:tc>
          <w:tcPr>
            <w:tcW w:type="dxa" w:w="4320"/>
          </w:tcPr>
          <w:p>
            <w:r>
              <w:t>Identify personal data processing in initiatives; complete required privacy assessments; obtain Data Protection Officer review before launch or material change; implement privacy-by-design requirements.</w:t>
            </w:r>
          </w:p>
        </w:tc>
      </w:tr>
      <w:tr>
        <w:tc>
          <w:tcPr>
            <w:tcW w:type="dxa" w:w="4320"/>
          </w:tcPr>
          <w:p>
            <w:r>
              <w:t>Information Security</w:t>
            </w:r>
          </w:p>
        </w:tc>
        <w:tc>
          <w:tcPr>
            <w:tcW w:type="dxa" w:w="4320"/>
          </w:tcPr>
          <w:p>
            <w:r>
              <w:t>Implements and maintains security controls protecting personal data; supports breach assessment and response; provides technical input to privacy reviews and risk assessments.</w:t>
            </w:r>
          </w:p>
        </w:tc>
      </w:tr>
      <w:tr>
        <w:tc>
          <w:tcPr>
            <w:tcW w:type="dxa" w:w="4320"/>
          </w:tcPr>
          <w:p>
            <w:r>
              <w:t>Information Technology</w:t>
            </w:r>
          </w:p>
        </w:tc>
        <w:tc>
          <w:tcPr>
            <w:tcW w:type="dxa" w:w="4320"/>
          </w:tcPr>
          <w:p>
            <w:r>
              <w:t>Ensures systems and applications support privacy requirements such as access control, logging, deletion, retention, data minimisation, and secure data transfer; cooperates with Data Protection Officer reviews.</w:t>
            </w:r>
          </w:p>
        </w:tc>
      </w:tr>
      <w:tr>
        <w:tc>
          <w:tcPr>
            <w:tcW w:type="dxa" w:w="4320"/>
          </w:tcPr>
          <w:p>
            <w:r>
              <w:t>Human Resources</w:t>
            </w:r>
          </w:p>
        </w:tc>
        <w:tc>
          <w:tcPr>
            <w:tcW w:type="dxa" w:w="4320"/>
          </w:tcPr>
          <w:p>
            <w:r>
              <w:t>Ensures workforce privacy practices are reviewed; supports employee privacy training; coordinates staff monitoring reviews; protects employee personal data.</w:t>
            </w:r>
          </w:p>
        </w:tc>
      </w:tr>
      <w:tr>
        <w:tc>
          <w:tcPr>
            <w:tcW w:type="dxa" w:w="4320"/>
          </w:tcPr>
          <w:p>
            <w:r>
              <w:t>Procurement / Vendor Management</w:t>
            </w:r>
          </w:p>
        </w:tc>
        <w:tc>
          <w:tcPr>
            <w:tcW w:type="dxa" w:w="4320"/>
          </w:tcPr>
          <w:p>
            <w:r>
              <w:t>Ensures suppliers processing personal data are assessed, contracted, monitored, and escalated where risks arise; engages the Data Protection Officer for relevant supplier arrangements.</w:t>
            </w:r>
          </w:p>
        </w:tc>
      </w:tr>
      <w:tr>
        <w:tc>
          <w:tcPr>
            <w:tcW w:type="dxa" w:w="4320"/>
          </w:tcPr>
          <w:p>
            <w:r>
              <w:t>Marketing / Customer Engagement</w:t>
            </w:r>
          </w:p>
        </w:tc>
        <w:tc>
          <w:tcPr>
            <w:tcW w:type="dxa" w:w="4320"/>
          </w:tcPr>
          <w:p>
            <w:r>
              <w:t>Ensures marketing activities involving personal data are lawful, transparent, consent-based where required, and reviewed by the Data Protection Officer where necessary.</w:t>
            </w:r>
          </w:p>
        </w:tc>
      </w:tr>
      <w:tr>
        <w:tc>
          <w:tcPr>
            <w:tcW w:type="dxa" w:w="4320"/>
          </w:tcPr>
          <w:p>
            <w:r>
              <w:t>Internal Audit</w:t>
            </w:r>
          </w:p>
        </w:tc>
        <w:tc>
          <w:tcPr>
            <w:tcW w:type="dxa" w:w="4320"/>
          </w:tcPr>
          <w:p>
            <w:r>
              <w:t>Provides independent assurance over privacy governance, Data Protection Officer appointment effectiveness, and compliance with this Policy.</w:t>
            </w:r>
          </w:p>
        </w:tc>
      </w:tr>
      <w:tr>
        <w:tc>
          <w:tcPr>
            <w:tcW w:type="dxa" w:w="4320"/>
          </w:tcPr>
          <w:p>
            <w:r>
              <w:t>Employees and Contractors</w:t>
            </w:r>
          </w:p>
        </w:tc>
        <w:tc>
          <w:tcPr>
            <w:tcW w:type="dxa" w:w="4320"/>
          </w:tcPr>
          <w:p>
            <w:r>
              <w:t>Follow privacy requirements; engage the Data Protection Officer when required; complete training; report suspected personal data breaches or non-compliance promptly.</w:t>
            </w:r>
          </w:p>
        </w:tc>
      </w:tr>
      <w:tr>
        <w:tc>
          <w:tcPr>
            <w:tcW w:type="dxa" w:w="4320"/>
          </w:tcPr>
          <w:p>
            <w:r>
              <w:t>Third-Party Processors and Service Providers</w:t>
            </w:r>
          </w:p>
        </w:tc>
        <w:tc>
          <w:tcPr>
            <w:tcW w:type="dxa" w:w="4320"/>
          </w:tcPr>
          <w:p>
            <w:r>
              <w:t>Process personal data only under authorised instructions; support privacy obligations; notify relevant incidents; cooperate with requests for evidence, assessments, and remediation.</w:t>
            </w:r>
          </w:p>
        </w:tc>
      </w:tr>
    </w:tbl>
    <w:p>
      <w:pPr>
        <w:pStyle w:val="Heading2"/>
      </w:pPr>
      <w:r>
        <w:t>Compliance, Monitoring &amp; Enforcement</w:t>
      </w:r>
    </w:p>
    <w:p>
      <w:r>
        <w:t>Compliance with this Policy is mandatory.</w:t>
      </w:r>
    </w:p>
    <w:p>
      <w:r>
        <w:t>The organisation shall monitor compliance through governance reporting, periodic reviews, audits, privacy assessments, incident reviews, training completion tracking, supplier oversight, and remediation monitoring.</w:t>
      </w:r>
    </w:p>
    <w:p>
      <w:r>
        <w:t>The Data Protection Officer, Privacy Office, Legal &amp; Compliance, Risk Management, Information Security, and Internal Audit may perform monitoring activities to confirm that:</w:t>
      </w:r>
    </w:p>
    <w:p>
      <w:pPr>
        <w:pStyle w:val="ListBullet"/>
      </w:pPr>
      <w:r>
        <w:t>The Data Protection Officer has been formally appointed where required.</w:t>
      </w:r>
    </w:p>
    <w:p>
      <w:pPr>
        <w:pStyle w:val="ListBullet"/>
      </w:pPr>
      <w:r>
        <w:t>The appointment remains appropriate based on current processing activities.</w:t>
      </w:r>
    </w:p>
    <w:p>
      <w:pPr>
        <w:pStyle w:val="ListBullet"/>
      </w:pPr>
      <w:r>
        <w:t>The Data Protection Officer has adequate independence, authority, access, and resources.</w:t>
      </w:r>
    </w:p>
    <w:p>
      <w:pPr>
        <w:pStyle w:val="ListBullet"/>
      </w:pPr>
      <w:r>
        <w:t>Business units engage the Data Protection Officer before high-risk processing begins.</w:t>
      </w:r>
    </w:p>
    <w:p>
      <w:pPr>
        <w:pStyle w:val="ListBullet"/>
      </w:pPr>
      <w:r>
        <w:t>Privacy advice and risk decisions are documented.</w:t>
      </w:r>
    </w:p>
    <w:p>
      <w:pPr>
        <w:pStyle w:val="ListBullet"/>
      </w:pPr>
      <w:r>
        <w:t>Conflicts of interest are identified and managed.</w:t>
      </w:r>
    </w:p>
    <w:p>
      <w:pPr>
        <w:pStyle w:val="ListBullet"/>
      </w:pPr>
      <w:r>
        <w:t>Data subject requests, incidents, and regulator communications are escalated appropriately.</w:t>
      </w:r>
    </w:p>
    <w:p>
      <w:pPr>
        <w:pStyle w:val="ListBullet"/>
      </w:pPr>
      <w:r>
        <w:t>Records supporting compliance are maintained and retrievable.</w:t>
      </w:r>
    </w:p>
    <w:p>
      <w:pPr>
        <w:pStyle w:val="ListBullet"/>
      </w:pPr>
      <w:r>
        <w:t>Privacy risks and remediation actions are tracked to closure.</w:t>
      </w:r>
    </w:p>
    <w:p>
      <w:r>
        <w:t>The following minimum compliance indicators shall be reported to [Privacy Governance Committee / Risk Committee / Executive Committee] at least [quarterly]:</w:t>
      </w:r>
    </w:p>
    <w:tbl>
      <w:tblPr>
        <w:tblStyle w:val="TableGrid"/>
        <w:tblW w:type="auto" w:w="0"/>
        <w:tblLook w:firstColumn="1" w:firstRow="1" w:lastColumn="0" w:lastRow="0" w:noHBand="0" w:noVBand="1" w:val="04A0"/>
      </w:tblPr>
      <w:tblGrid>
        <w:gridCol w:w="4320"/>
        <w:gridCol w:w="4320"/>
      </w:tblGrid>
      <w:tr>
        <w:tc>
          <w:tcPr>
            <w:tcW w:type="dxa" w:w="4320"/>
          </w:tcPr>
          <w:p>
            <w:r>
              <w:t>Compliance Indicator</w:t>
            </w:r>
          </w:p>
        </w:tc>
        <w:tc>
          <w:tcPr>
            <w:tcW w:type="dxa" w:w="4320"/>
          </w:tcPr>
          <w:p>
            <w:r>
              <w:t>Target / Expectation</w:t>
            </w:r>
          </w:p>
        </w:tc>
      </w:tr>
      <w:tr>
        <w:tc>
          <w:tcPr>
            <w:tcW w:type="dxa" w:w="4320"/>
          </w:tcPr>
          <w:p>
            <w:r>
              <w:t>Data Protection Officer appointment record current and approved</w:t>
            </w:r>
          </w:p>
        </w:tc>
        <w:tc>
          <w:tcPr>
            <w:tcW w:type="dxa" w:w="4320"/>
          </w:tcPr>
          <w:p>
            <w:r>
              <w:t>100% current</w:t>
            </w:r>
          </w:p>
        </w:tc>
      </w:tr>
      <w:tr>
        <w:tc>
          <w:tcPr>
            <w:tcW w:type="dxa" w:w="4320"/>
          </w:tcPr>
          <w:p>
            <w:r>
              <w:t>High-risk processing activities reviewed before launch</w:t>
            </w:r>
          </w:p>
        </w:tc>
        <w:tc>
          <w:tcPr>
            <w:tcW w:type="dxa" w:w="4320"/>
          </w:tcPr>
          <w:p>
            <w:r>
              <w:t>100%</w:t>
            </w:r>
          </w:p>
        </w:tc>
      </w:tr>
      <w:tr>
        <w:tc>
          <w:tcPr>
            <w:tcW w:type="dxa" w:w="4320"/>
          </w:tcPr>
          <w:p>
            <w:r>
              <w:t>Privacy impact assessments reviewed by Data Protection Officer where required</w:t>
            </w:r>
          </w:p>
        </w:tc>
        <w:tc>
          <w:tcPr>
            <w:tcW w:type="dxa" w:w="4320"/>
          </w:tcPr>
          <w:p>
            <w:r>
              <w:t>100%</w:t>
            </w:r>
          </w:p>
        </w:tc>
      </w:tr>
      <w:tr>
        <w:tc>
          <w:tcPr>
            <w:tcW w:type="dxa" w:w="4320"/>
          </w:tcPr>
          <w:p>
            <w:r>
              <w:t>Data subject rights escalations reviewed within required timeframe</w:t>
            </w:r>
          </w:p>
        </w:tc>
        <w:tc>
          <w:tcPr>
            <w:tcW w:type="dxa" w:w="4320"/>
          </w:tcPr>
          <w:p>
            <w:r>
              <w:t>100%</w:t>
            </w:r>
          </w:p>
        </w:tc>
      </w:tr>
      <w:tr>
        <w:tc>
          <w:tcPr>
            <w:tcW w:type="dxa" w:w="4320"/>
          </w:tcPr>
          <w:p>
            <w:r>
              <w:t>Personal data breach matters involving personal data reviewed by Data Protection Officer or delegate</w:t>
            </w:r>
          </w:p>
        </w:tc>
        <w:tc>
          <w:tcPr>
            <w:tcW w:type="dxa" w:w="4320"/>
          </w:tcPr>
          <w:p>
            <w:r>
              <w:t>100%</w:t>
            </w:r>
          </w:p>
        </w:tc>
      </w:tr>
      <w:tr>
        <w:tc>
          <w:tcPr>
            <w:tcW w:type="dxa" w:w="4320"/>
          </w:tcPr>
          <w:p>
            <w:r>
              <w:t>Overdue Data Protection Officer recommendations</w:t>
            </w:r>
          </w:p>
        </w:tc>
        <w:tc>
          <w:tcPr>
            <w:tcW w:type="dxa" w:w="4320"/>
          </w:tcPr>
          <w:p>
            <w:r>
              <w:t>Reported with remediation owner and target date</w:t>
            </w:r>
          </w:p>
        </w:tc>
      </w:tr>
      <w:tr>
        <w:tc>
          <w:tcPr>
            <w:tcW w:type="dxa" w:w="4320"/>
          </w:tcPr>
          <w:p>
            <w:r>
              <w:t>Privacy training completion for high-risk functions</w:t>
            </w:r>
          </w:p>
        </w:tc>
        <w:tc>
          <w:tcPr>
            <w:tcW w:type="dxa" w:w="4320"/>
          </w:tcPr>
          <w:p>
            <w:r>
              <w:t>At least 95% within assigned timeframe</w:t>
            </w:r>
          </w:p>
        </w:tc>
      </w:tr>
      <w:tr>
        <w:tc>
          <w:tcPr>
            <w:tcW w:type="dxa" w:w="4320"/>
          </w:tcPr>
          <w:p>
            <w:r>
              <w:t>Conflicts of interest reviewed and documented</w:t>
            </w:r>
          </w:p>
        </w:tc>
        <w:tc>
          <w:tcPr>
            <w:tcW w:type="dxa" w:w="4320"/>
          </w:tcPr>
          <w:p>
            <w:r>
              <w:t>100% for appointment and material role changes</w:t>
            </w:r>
          </w:p>
        </w:tc>
      </w:tr>
      <w:tr>
        <w:tc>
          <w:tcPr>
            <w:tcW w:type="dxa" w:w="4320"/>
          </w:tcPr>
          <w:p>
            <w:r>
              <w:t>Regulatory communications coordinated through authorised channels</w:t>
            </w:r>
          </w:p>
        </w:tc>
        <w:tc>
          <w:tcPr>
            <w:tcW w:type="dxa" w:w="4320"/>
          </w:tcPr>
          <w:p>
            <w:r>
              <w:t>100%</w:t>
            </w:r>
          </w:p>
        </w:tc>
      </w:tr>
    </w:tbl>
    <w:p>
      <w:r>
        <w:t>Non-compliance with this Policy may result in corrective action, including mandatory remediation, suspension of processing activities, withdrawal of system access, contract remedies, supplier escalation, management action, disciplinary action up to and including termination of employment, and legal action where appropriate.</w:t>
      </w:r>
    </w:p>
    <w:p>
      <w:r>
        <w:t>Where a processing activity presents unacceptable privacy risk or lacks required Data Protection Officer review, the Data Protection Officer or authorised governance body may recommend that the activity be paused, restricted, redesigned, or escalated for executive decision.</w:t>
      </w:r>
    </w:p>
    <w:p>
      <w:pPr>
        <w:pStyle w:val="Heading2"/>
      </w:pPr>
      <w:r>
        <w:t>Exceptions</w:t>
      </w:r>
    </w:p>
    <w:p>
      <w:r>
        <w:t>Exceptions to this Policy shall be limited, justified, documented, risk-assessed, and approved before implementation unless immediate action is necessary to protect individuals, comply with law, or respond to an incident.</w:t>
      </w:r>
    </w:p>
    <w:p>
      <w:r>
        <w:t>An exception request shall include:</w:t>
      </w:r>
    </w:p>
    <w:p>
      <w:pPr>
        <w:pStyle w:val="ListBullet"/>
      </w:pPr>
      <w:r>
        <w:t>Description of the requested exception.</w:t>
      </w:r>
    </w:p>
    <w:p>
      <w:pPr>
        <w:pStyle w:val="ListBullet"/>
      </w:pPr>
      <w:r>
        <w:t>Business justification.</w:t>
      </w:r>
    </w:p>
    <w:p>
      <w:pPr>
        <w:pStyle w:val="ListBullet"/>
      </w:pPr>
      <w:r>
        <w:t>Affected processing activity, system, business unit, and data subjects.</w:t>
      </w:r>
    </w:p>
    <w:p>
      <w:pPr>
        <w:pStyle w:val="ListBullet"/>
      </w:pPr>
      <w:r>
        <w:t>Type and sensitivity of personal data involved.</w:t>
      </w:r>
    </w:p>
    <w:p>
      <w:pPr>
        <w:pStyle w:val="ListBullet"/>
      </w:pPr>
      <w:r>
        <w:t>Privacy, legal, operational, security, and reputational risks.</w:t>
      </w:r>
    </w:p>
    <w:p>
      <w:pPr>
        <w:pStyle w:val="ListBullet"/>
      </w:pPr>
      <w:r>
        <w:t>Proposed compensating controls.</w:t>
      </w:r>
    </w:p>
    <w:p>
      <w:pPr>
        <w:pStyle w:val="ListBullet"/>
      </w:pPr>
      <w:r>
        <w:t>Duration of the exception.</w:t>
      </w:r>
    </w:p>
    <w:p>
      <w:pPr>
        <w:pStyle w:val="ListBullet"/>
      </w:pPr>
      <w:r>
        <w:t>Responsible owner.</w:t>
      </w:r>
    </w:p>
    <w:p>
      <w:pPr>
        <w:pStyle w:val="ListBullet"/>
      </w:pPr>
      <w:r>
        <w:t>Data Protection Officer recommendation.</w:t>
      </w:r>
    </w:p>
    <w:p>
      <w:pPr>
        <w:pStyle w:val="ListBullet"/>
      </w:pPr>
      <w:r>
        <w:t>Approval by authorised management.</w:t>
      </w:r>
    </w:p>
    <w:p>
      <w:r>
        <w:t>Exceptions shall not be used to avoid appointing a Data Protection Officer where the organisation’s processing activities require such appointment.</w:t>
      </w:r>
    </w:p>
    <w:p>
      <w:r>
        <w:t>Exceptions shall not permit unlawful processing, concealment of personal data breaches, obstruction of data subject rights, unauthorised disclosure of personal data, or retaliation against the Data Protection Officer.</w:t>
      </w:r>
    </w:p>
    <w:p>
      <w:r>
        <w:t>Approved exceptions shall be recorded in the organisation’s exception register and reviewed at least [quarterly] until closure.</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Entry</w:t>
            </w:r>
          </w:p>
        </w:tc>
      </w:tr>
      <w:tr>
        <w:tc>
          <w:tcPr>
            <w:tcW w:type="dxa" w:w="4320"/>
          </w:tcPr>
          <w:p>
            <w:r>
              <w:t>Exception ID</w:t>
            </w:r>
          </w:p>
        </w:tc>
        <w:tc>
          <w:tcPr>
            <w:tcW w:type="dxa" w:w="4320"/>
          </w:tcPr>
          <w:p>
            <w:r>
              <w:t>[EXC-YYYY-###]</w:t>
            </w:r>
          </w:p>
        </w:tc>
      </w:tr>
      <w:tr>
        <w:tc>
          <w:tcPr>
            <w:tcW w:type="dxa" w:w="4320"/>
          </w:tcPr>
          <w:p>
            <w:r>
              <w:t>Requesting business unit</w:t>
            </w:r>
          </w:p>
        </w:tc>
        <w:tc>
          <w:tcPr>
            <w:tcW w:type="dxa" w:w="4320"/>
          </w:tcPr>
          <w:p>
            <w:r>
              <w:t>[Business Unit]</w:t>
            </w:r>
          </w:p>
        </w:tc>
      </w:tr>
      <w:tr>
        <w:tc>
          <w:tcPr>
            <w:tcW w:type="dxa" w:w="4320"/>
          </w:tcPr>
          <w:p>
            <w:r>
              <w:t>Processing activity</w:t>
            </w:r>
          </w:p>
        </w:tc>
        <w:tc>
          <w:tcPr>
            <w:tcW w:type="dxa" w:w="4320"/>
          </w:tcPr>
          <w:p>
            <w:r>
              <w:t>[Description]</w:t>
            </w:r>
          </w:p>
        </w:tc>
      </w:tr>
      <w:tr>
        <w:tc>
          <w:tcPr>
            <w:tcW w:type="dxa" w:w="4320"/>
          </w:tcPr>
          <w:p>
            <w:r>
              <w:t>Policy requirement affected</w:t>
            </w:r>
          </w:p>
        </w:tc>
        <w:tc>
          <w:tcPr>
            <w:tcW w:type="dxa" w:w="4320"/>
          </w:tcPr>
          <w:p>
            <w:r>
              <w:t>[Requirement]</w:t>
            </w:r>
          </w:p>
        </w:tc>
      </w:tr>
      <w:tr>
        <w:tc>
          <w:tcPr>
            <w:tcW w:type="dxa" w:w="4320"/>
          </w:tcPr>
          <w:p>
            <w:r>
              <w:t>Risk rating</w:t>
            </w:r>
          </w:p>
        </w:tc>
        <w:tc>
          <w:tcPr>
            <w:tcW w:type="dxa" w:w="4320"/>
          </w:tcPr>
          <w:p>
            <w:r>
              <w:t>Low / Medium / High / Critical</w:t>
            </w:r>
          </w:p>
        </w:tc>
      </w:tr>
      <w:tr>
        <w:tc>
          <w:tcPr>
            <w:tcW w:type="dxa" w:w="4320"/>
          </w:tcPr>
          <w:p>
            <w:r>
              <w:t>Compensating controls</w:t>
            </w:r>
          </w:p>
        </w:tc>
        <w:tc>
          <w:tcPr>
            <w:tcW w:type="dxa" w:w="4320"/>
          </w:tcPr>
          <w:p>
            <w:r>
              <w:t>[Controls]</w:t>
            </w:r>
          </w:p>
        </w:tc>
      </w:tr>
      <w:tr>
        <w:tc>
          <w:tcPr>
            <w:tcW w:type="dxa" w:w="4320"/>
          </w:tcPr>
          <w:p>
            <w:r>
              <w:t>Data Protection Officer recommendation</w:t>
            </w:r>
          </w:p>
        </w:tc>
        <w:tc>
          <w:tcPr>
            <w:tcW w:type="dxa" w:w="4320"/>
          </w:tcPr>
          <w:p>
            <w:r>
              <w:t>Approve / Approve with conditions / Reject</w:t>
            </w:r>
          </w:p>
        </w:tc>
      </w:tr>
      <w:tr>
        <w:tc>
          <w:tcPr>
            <w:tcW w:type="dxa" w:w="4320"/>
          </w:tcPr>
          <w:p>
            <w:r>
              <w:t>Approver</w:t>
            </w:r>
          </w:p>
        </w:tc>
        <w:tc>
          <w:tcPr>
            <w:tcW w:type="dxa" w:w="4320"/>
          </w:tcPr>
          <w:p>
            <w:r>
              <w:t>[Approver Name / Role]</w:t>
            </w:r>
          </w:p>
        </w:tc>
      </w:tr>
      <w:tr>
        <w:tc>
          <w:tcPr>
            <w:tcW w:type="dxa" w:w="4320"/>
          </w:tcPr>
          <w:p>
            <w:r>
              <w:t>Expiry date</w:t>
            </w:r>
          </w:p>
        </w:tc>
        <w:tc>
          <w:tcPr>
            <w:tcW w:type="dxa" w:w="4320"/>
          </w:tcPr>
          <w:p>
            <w:r>
              <w:t>[Date]</w:t>
            </w:r>
          </w:p>
        </w:tc>
      </w:tr>
      <w:tr>
        <w:tc>
          <w:tcPr>
            <w:tcW w:type="dxa" w:w="4320"/>
          </w:tcPr>
          <w:p>
            <w:r>
              <w:t>Review frequency</w:t>
            </w:r>
          </w:p>
        </w:tc>
        <w:tc>
          <w:tcPr>
            <w:tcW w:type="dxa" w:w="4320"/>
          </w:tcPr>
          <w:p>
            <w:r>
              <w:t>[Monthly / Quarterly]</w:t>
            </w:r>
          </w:p>
        </w:tc>
      </w:tr>
      <w:tr>
        <w:tc>
          <w:tcPr>
            <w:tcW w:type="dxa" w:w="4320"/>
          </w:tcPr>
          <w:p>
            <w:r>
              <w:t>Closure evidence</w:t>
            </w:r>
          </w:p>
        </w:tc>
        <w:tc>
          <w:tcPr>
            <w:tcW w:type="dxa" w:w="4320"/>
          </w:tcPr>
          <w:p>
            <w:r>
              <w:t>[Evidence]</w:t>
            </w:r>
          </w:p>
        </w:tc>
      </w:tr>
    </w:tbl>
    <w:p>
      <w:pPr>
        <w:pStyle w:val="Heading2"/>
      </w:pPr>
      <w:r>
        <w:t>Review &amp; Maintenance</w:t>
      </w:r>
    </w:p>
    <w:p>
      <w:r>
        <w:t>This Policy shall be reviewed at least annually and whenever there is a material change in:</w:t>
      </w:r>
    </w:p>
    <w:p>
      <w:pPr>
        <w:pStyle w:val="ListBullet"/>
      </w:pPr>
      <w:r>
        <w:t>Saudi personal data protection requirements or regulatory guidance.</w:t>
      </w:r>
    </w:p>
    <w:p>
      <w:pPr>
        <w:pStyle w:val="ListBullet"/>
      </w:pPr>
      <w:r>
        <w:t>The organisation’s processing activities, business model, systems, or services.</w:t>
      </w:r>
    </w:p>
    <w:p>
      <w:pPr>
        <w:pStyle w:val="ListBullet"/>
      </w:pPr>
      <w:r>
        <w:t>Use of sensitive personal data, monitoring technologies, profiling, artificial intelligence, or large-scale analytics.</w:t>
      </w:r>
    </w:p>
    <w:p>
      <w:pPr>
        <w:pStyle w:val="ListBullet"/>
      </w:pPr>
      <w:r>
        <w:t>Organisational structure, reporting lines, or governance arrangements.</w:t>
      </w:r>
    </w:p>
    <w:p>
      <w:pPr>
        <w:pStyle w:val="ListBullet"/>
      </w:pPr>
      <w:r>
        <w:t>Data Protection Officer appointment, independence, resources, or role scope.</w:t>
      </w:r>
    </w:p>
    <w:p>
      <w:pPr>
        <w:pStyle w:val="ListBullet"/>
      </w:pPr>
      <w:r>
        <w:t>Personal data breach trends, audit findings, regulatory interactions, or significant privacy risks.</w:t>
      </w:r>
    </w:p>
    <w:p>
      <w:pPr>
        <w:pStyle w:val="ListBullet"/>
      </w:pPr>
      <w:r>
        <w:t>Third-party processing arrangements or cross-border transfer practices.</w:t>
      </w:r>
    </w:p>
    <w:p>
      <w:r>
        <w:t>The Policy Owner shall be responsible for coordinating the review, obtaining input from the Data Protection Officer and relevant stakeholders, securing approval from the appropriate authority, and communicating approved changes.</w:t>
      </w:r>
    </w:p>
    <w:p>
      <w:r>
        <w:t>Version history shall be maintained as part of document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[Effective Date]</w:t>
            </w:r>
          </w:p>
        </w:tc>
        <w:tc>
          <w:tcPr>
            <w:tcW w:type="dxa" w:w="1728"/>
          </w:tcPr>
          <w:p>
            <w:r>
              <w:t>Initial issue</w:t>
            </w:r>
          </w:p>
        </w:tc>
        <w:tc>
          <w:tcPr>
            <w:tcW w:type="dxa" w:w="1728"/>
          </w:tcPr>
          <w:p>
            <w:r>
              <w:t>[Author Name / Role]</w:t>
            </w:r>
          </w:p>
        </w:tc>
        <w:tc>
          <w:tcPr>
            <w:tcW w:type="dxa" w:w="1728"/>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