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ITGC Scoping Memo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[ITGC-SCOPE-MEMO-001]</w:t>
            </w:r>
          </w:p>
        </w:tc>
        <w:tc>
          <w:tcPr>
            <w:tcW w:type="dxa" w:w="1440"/>
          </w:tcPr>
          <w:p>
            <w:r>
              <w:t>1.0</w:t>
            </w:r>
          </w:p>
        </w:tc>
        <w:tc>
          <w:tcPr>
            <w:tcW w:type="dxa" w:w="1440"/>
          </w:tcPr>
          <w:p>
            <w:r>
              <w:t>[SOX Compliance Owner / IT Governance Owner]</w:t>
            </w:r>
          </w:p>
        </w:tc>
        <w:tc>
          <w:tcPr>
            <w:tcW w:type="dxa" w:w="1440"/>
          </w:tcPr>
          <w:p>
            <w:r>
              <w:t>[Effective Date]</w:t>
            </w:r>
          </w:p>
        </w:tc>
        <w:tc>
          <w:tcPr>
            <w:tcW w:type="dxa" w:w="1440"/>
          </w:tcPr>
          <w:p>
            <w:r>
              <w:t>SOX IT General Controls</w:t>
            </w:r>
          </w:p>
        </w:tc>
        <w:tc>
          <w:tcPr>
            <w:tcW w:type="dxa" w:w="1440"/>
          </w:tcPr>
          <w:p>
            <w:r>
              <w:t>Internal Confidential</w:t>
            </w:r>
          </w:p>
        </w:tc>
      </w:tr>
    </w:tbl>
    <w:p>
      <w:pPr>
        <w:pStyle w:val="Heading2"/>
      </w:pPr>
      <w:r>
        <w:t>Purpose</w:t>
      </w:r>
    </w:p>
    <w:p>
      <w:r>
        <w:t>This policy establishes the mandatory requirements for defining, approving, maintaining, and evidencing the scope of IT General Controls supporting internal control over financial reporting.</w:t>
      </w:r>
    </w:p>
    <w:p>
      <w:r>
        <w:t>The purpose of this ITGC Scoping Memo is to ensure that the organisation consistently identifies:</w:t>
      </w:r>
    </w:p>
    <w:p>
      <w:pPr>
        <w:pStyle w:val="ListBullet"/>
      </w:pPr>
      <w:r>
        <w:t>Financially significant systems that process, store, transmit, or report financial data.</w:t>
      </w:r>
    </w:p>
    <w:p>
      <w:pPr>
        <w:pStyle w:val="ListBullet"/>
      </w:pPr>
      <w:r>
        <w:t>Key reports, interfaces, and automated calculations used in financial reporting controls.</w:t>
      </w:r>
    </w:p>
    <w:p>
      <w:pPr>
        <w:pStyle w:val="ListBullet"/>
      </w:pPr>
      <w:r>
        <w:t>Technology layers that support the reliability, integrity, availability, and restricted access of in-scope financial systems.</w:t>
      </w:r>
    </w:p>
    <w:p>
      <w:pPr>
        <w:pStyle w:val="ListBullet"/>
      </w:pPr>
      <w:r>
        <w:t>Service providers, end-user computing tools, and data flows that may affect financial reporting.</w:t>
      </w:r>
    </w:p>
    <w:p>
      <w:pPr>
        <w:pStyle w:val="ListBullet"/>
      </w:pPr>
      <w:r>
        <w:t>Ownership, documentation, and approval requirements for the annual SOX ITGC scope.</w:t>
      </w:r>
    </w:p>
    <w:p>
      <w:r>
        <w:t>This policy supports management’s responsibility to maintain effective controls over systems and technology components that could materially affect financial reporting.</w:t>
      </w:r>
    </w:p>
    <w:p>
      <w:pPr>
        <w:pStyle w:val="Heading2"/>
      </w:pPr>
      <w:r>
        <w:t>Scope</w:t>
      </w:r>
    </w:p>
    <w:p>
      <w:r>
        <w:t>This policy applies to all business units, finance functions, information technology teams, system owners, control owners, and third parties involved in operating, administering, supporting, or relying on systems and reports used for financial reporting.</w:t>
      </w:r>
    </w:p>
    <w:p>
      <w:r>
        <w:t>The policy applies to the identification and scoping of ITGCs for systems, applications, infrastructure, databases, reports, interfaces, and supporting technology services that may impact the completeness, accuracy, validity, authorisation, processing, or reporting of financial information.</w:t>
      </w:r>
    </w:p>
    <w:p>
      <w:r>
        <w:t>The scope shall include, at a minimum:</w:t>
      </w:r>
    </w:p>
    <w:tbl>
      <w:tblPr>
        <w:tblStyle w:val="TableGrid"/>
        <w:tblW w:type="auto" w:w="0"/>
        <w:tblLook w:firstColumn="1" w:firstRow="1" w:lastColumn="0" w:lastRow="0" w:noHBand="0" w:noVBand="1" w:val="04A0"/>
      </w:tblPr>
      <w:tblGrid>
        <w:gridCol w:w="2880"/>
        <w:gridCol w:w="2880"/>
        <w:gridCol w:w="2880"/>
      </w:tblGrid>
      <w:tr>
        <w:tc>
          <w:tcPr>
            <w:tcW w:type="dxa" w:w="2880"/>
          </w:tcPr>
          <w:p>
            <w:r>
              <w:t>Scope Area</w:t>
            </w:r>
          </w:p>
        </w:tc>
        <w:tc>
          <w:tcPr>
            <w:tcW w:type="dxa" w:w="2880"/>
          </w:tcPr>
          <w:p>
            <w:r>
              <w:t>Description</w:t>
            </w:r>
          </w:p>
        </w:tc>
        <w:tc>
          <w:tcPr>
            <w:tcW w:type="dxa" w:w="2880"/>
          </w:tcPr>
          <w:p>
            <w:r>
              <w:t>Examples</w:t>
            </w:r>
          </w:p>
        </w:tc>
      </w:tr>
      <w:tr>
        <w:tc>
          <w:tcPr>
            <w:tcW w:type="dxa" w:w="2880"/>
          </w:tcPr>
          <w:p>
            <w:r>
              <w:t>Financial applications</w:t>
            </w:r>
          </w:p>
        </w:tc>
        <w:tc>
          <w:tcPr>
            <w:tcW w:type="dxa" w:w="2880"/>
          </w:tcPr>
          <w:p>
            <w:r>
              <w:t>Systems that initiate, record, process, approve, consolidate, or report financial transactions or balances</w:t>
            </w:r>
          </w:p>
        </w:tc>
        <w:tc>
          <w:tcPr>
            <w:tcW w:type="dxa" w:w="2880"/>
          </w:tcPr>
          <w:p>
            <w:r>
              <w:t>Enterprise resource planning system, consolidation platform, revenue system, procurement system, payroll system</w:t>
            </w:r>
          </w:p>
        </w:tc>
      </w:tr>
      <w:tr>
        <w:tc>
          <w:tcPr>
            <w:tcW w:type="dxa" w:w="2880"/>
          </w:tcPr>
          <w:p>
            <w:r>
              <w:t>Key reports</w:t>
            </w:r>
          </w:p>
        </w:tc>
        <w:tc>
          <w:tcPr>
            <w:tcW w:type="dxa" w:w="2880"/>
          </w:tcPr>
          <w:p>
            <w:r>
              <w:t>Reports used as evidence in financial controls or management review controls, or used to prepare financial statements and disclosures</w:t>
            </w:r>
          </w:p>
        </w:tc>
        <w:tc>
          <w:tcPr>
            <w:tcW w:type="dxa" w:w="2880"/>
          </w:tcPr>
          <w:p>
            <w:r>
              <w:t>Revenue listing, journal entry report, aged receivables report, user access report, close checklist report</w:t>
            </w:r>
          </w:p>
        </w:tc>
      </w:tr>
      <w:tr>
        <w:tc>
          <w:tcPr>
            <w:tcW w:type="dxa" w:w="2880"/>
          </w:tcPr>
          <w:p>
            <w:r>
              <w:t>Interfaces and data transfers</w:t>
            </w:r>
          </w:p>
        </w:tc>
        <w:tc>
          <w:tcPr>
            <w:tcW w:type="dxa" w:w="2880"/>
          </w:tcPr>
          <w:p>
            <w:r>
              <w:t>Automated or manual data movements between financial systems or from operational systems into financial reporting systems</w:t>
            </w:r>
          </w:p>
        </w:tc>
        <w:tc>
          <w:tcPr>
            <w:tcW w:type="dxa" w:w="2880"/>
          </w:tcPr>
          <w:p>
            <w:r>
              <w:t>Order-to-cash interface, payroll-to-general-ledger feed, bank file upload, data warehouse load</w:t>
            </w:r>
          </w:p>
        </w:tc>
      </w:tr>
      <w:tr>
        <w:tc>
          <w:tcPr>
            <w:tcW w:type="dxa" w:w="2880"/>
          </w:tcPr>
          <w:p>
            <w:r>
              <w:t>Databases</w:t>
            </w:r>
          </w:p>
        </w:tc>
        <w:tc>
          <w:tcPr>
            <w:tcW w:type="dxa" w:w="2880"/>
          </w:tcPr>
          <w:p>
            <w:r>
              <w:t>Databases storing financial data, configuration, user access, transaction records, or reporting data</w:t>
            </w:r>
          </w:p>
        </w:tc>
        <w:tc>
          <w:tcPr>
            <w:tcW w:type="dxa" w:w="2880"/>
          </w:tcPr>
          <w:p>
            <w:r>
              <w:t>Production financial database, reporting database, data mart supporting close reporting</w:t>
            </w:r>
          </w:p>
        </w:tc>
      </w:tr>
      <w:tr>
        <w:tc>
          <w:tcPr>
            <w:tcW w:type="dxa" w:w="2880"/>
          </w:tcPr>
          <w:p>
            <w:r>
              <w:t>Infrastructure</w:t>
            </w:r>
          </w:p>
        </w:tc>
        <w:tc>
          <w:tcPr>
            <w:tcW w:type="dxa" w:w="2880"/>
          </w:tcPr>
          <w:p>
            <w:r>
              <w:t>Operating systems, servers, cloud services, network components, and storage supporting in-scope systems</w:t>
            </w:r>
          </w:p>
        </w:tc>
        <w:tc>
          <w:tcPr>
            <w:tcW w:type="dxa" w:w="2880"/>
          </w:tcPr>
          <w:p>
            <w:r>
              <w:t>Cloud environment, virtual servers, file storage, authentication services</w:t>
            </w:r>
          </w:p>
        </w:tc>
      </w:tr>
      <w:tr>
        <w:tc>
          <w:tcPr>
            <w:tcW w:type="dxa" w:w="2880"/>
          </w:tcPr>
          <w:p>
            <w:r>
              <w:t>Security and identity services</w:t>
            </w:r>
          </w:p>
        </w:tc>
        <w:tc>
          <w:tcPr>
            <w:tcW w:type="dxa" w:w="2880"/>
          </w:tcPr>
          <w:p>
            <w:r>
              <w:t>Tools and services used to authenticate users, assign privileges, enforce access, or monitor security events</w:t>
            </w:r>
          </w:p>
        </w:tc>
        <w:tc>
          <w:tcPr>
            <w:tcW w:type="dxa" w:w="2880"/>
          </w:tcPr>
          <w:p>
            <w:r>
              <w:t>Single sign-on, directory service, privileged access management tool, multi-factor authentication</w:t>
            </w:r>
          </w:p>
        </w:tc>
      </w:tr>
      <w:tr>
        <w:tc>
          <w:tcPr>
            <w:tcW w:type="dxa" w:w="2880"/>
          </w:tcPr>
          <w:p>
            <w:r>
              <w:t>Change and release tools</w:t>
            </w:r>
          </w:p>
        </w:tc>
        <w:tc>
          <w:tcPr>
            <w:tcW w:type="dxa" w:w="2880"/>
          </w:tcPr>
          <w:p>
            <w:r>
              <w:t>Tools used to develop, approve, test, migrate, or deploy changes to in-scope systems</w:t>
            </w:r>
          </w:p>
        </w:tc>
        <w:tc>
          <w:tcPr>
            <w:tcW w:type="dxa" w:w="2880"/>
          </w:tcPr>
          <w:p>
            <w:r>
              <w:t>Ticketing system, source code repository, release pipeline, deployment tool</w:t>
            </w:r>
          </w:p>
        </w:tc>
      </w:tr>
      <w:tr>
        <w:tc>
          <w:tcPr>
            <w:tcW w:type="dxa" w:w="2880"/>
          </w:tcPr>
          <w:p>
            <w:r>
              <w:t>Job scheduling and batch processing</w:t>
            </w:r>
          </w:p>
        </w:tc>
        <w:tc>
          <w:tcPr>
            <w:tcW w:type="dxa" w:w="2880"/>
          </w:tcPr>
          <w:p>
            <w:r>
              <w:t>Tools and processes used to run recurring financial jobs, interfaces, calculations, or reconciliations</w:t>
            </w:r>
          </w:p>
        </w:tc>
        <w:tc>
          <w:tcPr>
            <w:tcW w:type="dxa" w:w="2880"/>
          </w:tcPr>
          <w:p>
            <w:r>
              <w:t>Batch scheduler, automated posting jobs, nightly interface runs</w:t>
            </w:r>
          </w:p>
        </w:tc>
      </w:tr>
      <w:tr>
        <w:tc>
          <w:tcPr>
            <w:tcW w:type="dxa" w:w="2880"/>
          </w:tcPr>
          <w:p>
            <w:r>
              <w:t>Third-party services</w:t>
            </w:r>
          </w:p>
        </w:tc>
        <w:tc>
          <w:tcPr>
            <w:tcW w:type="dxa" w:w="2880"/>
          </w:tcPr>
          <w:p>
            <w:r>
              <w:t>Outsourced technology or business process providers supporting financially relevant systems or controls</w:t>
            </w:r>
          </w:p>
        </w:tc>
        <w:tc>
          <w:tcPr>
            <w:tcW w:type="dxa" w:w="2880"/>
          </w:tcPr>
          <w:p>
            <w:r>
              <w:t>SaaS provider, managed hosting provider, outsourced payroll provider, outsourced IT operations provider</w:t>
            </w:r>
          </w:p>
        </w:tc>
      </w:tr>
      <w:tr>
        <w:tc>
          <w:tcPr>
            <w:tcW w:type="dxa" w:w="2880"/>
          </w:tcPr>
          <w:p>
            <w:r>
              <w:t>End-user computing tools</w:t>
            </w:r>
          </w:p>
        </w:tc>
        <w:tc>
          <w:tcPr>
            <w:tcW w:type="dxa" w:w="2880"/>
          </w:tcPr>
          <w:p>
            <w:r>
              <w:t>Spreadsheets, databases, scripts, or local tools used in financial reporting controls or calculations</w:t>
            </w:r>
          </w:p>
        </w:tc>
        <w:tc>
          <w:tcPr>
            <w:tcW w:type="dxa" w:w="2880"/>
          </w:tcPr>
          <w:p>
            <w:r>
              <w:t>Close workbook, tax provision model, revenue allocation spreadsheet</w:t>
            </w:r>
          </w:p>
        </w:tc>
      </w:tr>
      <w:tr>
        <w:tc>
          <w:tcPr>
            <w:tcW w:type="dxa" w:w="2880"/>
          </w:tcPr>
          <w:p>
            <w:r>
              <w:t>Reporting and analytics platforms</w:t>
            </w:r>
          </w:p>
        </w:tc>
        <w:tc>
          <w:tcPr>
            <w:tcW w:type="dxa" w:w="2880"/>
          </w:tcPr>
          <w:p>
            <w:r>
              <w:t>Data warehouses, business intelligence platforms, and report-generation tools used for key financial reporting</w:t>
            </w:r>
          </w:p>
        </w:tc>
        <w:tc>
          <w:tcPr>
            <w:tcW w:type="dxa" w:w="2880"/>
          </w:tcPr>
          <w:p>
            <w:r>
              <w:t>BI dashboards, consolidation reports, management review reports</w:t>
            </w:r>
          </w:p>
        </w:tc>
      </w:tr>
    </w:tbl>
    <w:p>
      <w:r>
        <w:t>This policy applies during:</w:t>
      </w:r>
    </w:p>
    <w:p>
      <w:pPr>
        <w:pStyle w:val="ListBullet"/>
      </w:pPr>
      <w:r>
        <w:t>Annual SOX scoping and planning.</w:t>
      </w:r>
    </w:p>
    <w:p>
      <w:pPr>
        <w:pStyle w:val="ListBullet"/>
      </w:pPr>
      <w:r>
        <w:t>New system implementation or major system change.</w:t>
      </w:r>
    </w:p>
    <w:p>
      <w:pPr>
        <w:pStyle w:val="ListBullet"/>
      </w:pPr>
      <w:r>
        <w:t>Acquisition, divestiture, or restructuring activity.</w:t>
      </w:r>
    </w:p>
    <w:p>
      <w:pPr>
        <w:pStyle w:val="ListBullet"/>
      </w:pPr>
      <w:r>
        <w:t>New financial reporting process implementation.</w:t>
      </w:r>
    </w:p>
    <w:p>
      <w:pPr>
        <w:pStyle w:val="ListBullet"/>
      </w:pPr>
      <w:r>
        <w:t>Outsourcing, migration to cloud services, or major technology platform change.</w:t>
      </w:r>
    </w:p>
    <w:p>
      <w:pPr>
        <w:pStyle w:val="ListBullet"/>
      </w:pPr>
      <w:r>
        <w:t>Identification of a new key report, interface, automated control, or financially relevant data source.</w:t>
      </w:r>
    </w:p>
    <w:p>
      <w:pPr>
        <w:pStyle w:val="ListBullet"/>
      </w:pPr>
      <w:r>
        <w:t>Any event that could materially change technology risk to financial reporting.</w:t>
      </w:r>
    </w:p>
    <w:p>
      <w:pPr>
        <w:pStyle w:val="Heading2"/>
      </w:pPr>
      <w:r>
        <w:t>Policy Statements</w:t>
      </w:r>
    </w:p>
    <w:p>
      <w:pPr>
        <w:pStyle w:val="ListBullet"/>
      </w:pPr>
      <w:r>
        <w:t>The organisation shall maintain a documented ITGC scope for each SOX compliance year.</w:t>
      </w:r>
    </w:p>
    <w:p>
      <w:pPr>
        <w:pStyle w:val="ListBullet"/>
      </w:pPr>
      <w:r>
        <w:t>The ITGC scope shall be based on the financial reporting risk profile of systems, reports, interfaces, and supporting technology layers.</w:t>
      </w:r>
    </w:p>
    <w:p>
      <w:pPr>
        <w:pStyle w:val="ListBullet"/>
      </w:pPr>
      <w:r>
        <w:t>The ITGC scope shall identify all financially significant applications that initiate, authorise, process, record, consolidate, transmit, or report financial data.</w:t>
      </w:r>
    </w:p>
    <w:p>
      <w:pPr>
        <w:pStyle w:val="ListBullet"/>
      </w:pPr>
      <w:r>
        <w:t>The ITGC scope shall include systems that directly support significant financial statement accounts, disclosures, transaction classes, or management review controls.</w:t>
      </w:r>
    </w:p>
    <w:p>
      <w:pPr>
        <w:pStyle w:val="ListBullet"/>
      </w:pPr>
      <w:r>
        <w:t>The ITGC scope shall include systems that generate, store, or transmit data used by key financial reporting controls, even where the system does not post directly to the general ledger.</w:t>
      </w:r>
    </w:p>
    <w:p>
      <w:pPr>
        <w:pStyle w:val="ListBullet"/>
      </w:pPr>
      <w:r>
        <w:t>The ITGC scope shall include key reports used in the execution, review, or evidence of financial reporting controls.</w:t>
      </w:r>
    </w:p>
    <w:p>
      <w:pPr>
        <w:pStyle w:val="ListBullet"/>
      </w:pPr>
      <w:r>
        <w:t>Each key report shall have a documented report owner, source system, purpose, frequency, data population, report logic owner, and control usage.</w:t>
      </w:r>
    </w:p>
    <w:p>
      <w:pPr>
        <w:pStyle w:val="ListBullet"/>
      </w:pPr>
      <w:r>
        <w:t>Reports shall be assessed to determine whether they are standard system reports, configurable reports, custom reports, queries, dashboards, extracts, spreadsheets, or other end-user reporting tools.</w:t>
      </w:r>
    </w:p>
    <w:p>
      <w:pPr>
        <w:pStyle w:val="ListBullet"/>
      </w:pPr>
      <w:r>
        <w:t>The ITGC scope shall identify whether each key report relies on completeness and accuracy controls over source data, report logic, parameters, interfaces, or manual adjustments.</w:t>
      </w:r>
    </w:p>
    <w:p>
      <w:pPr>
        <w:pStyle w:val="ListBullet"/>
      </w:pPr>
      <w:r>
        <w:t>The ITGC scope shall include automated application controls and system-generated calculations that are relied upon to prevent or detect material misstatement.</w:t>
      </w:r>
    </w:p>
    <w:p>
      <w:pPr>
        <w:pStyle w:val="ListBullet"/>
      </w:pPr>
      <w:r>
        <w:t>The ITGC scope shall identify key interfaces and data transfers that move financially relevant information between systems, applications, databases, reporting platforms, or third-party providers.</w:t>
      </w:r>
    </w:p>
    <w:p>
      <w:pPr>
        <w:pStyle w:val="ListBullet"/>
      </w:pPr>
      <w:r>
        <w:t>Interfaces shall be evaluated for the risk of incomplete, inaccurate, unauthorised, duplicate, rejected, or untimely processing of financial data.</w:t>
      </w:r>
    </w:p>
    <w:p>
      <w:pPr>
        <w:pStyle w:val="ListBullet"/>
      </w:pPr>
      <w:r>
        <w:t>The ITGC scope shall include databases and data repositories supporting in-scope financial systems, key reports, automated controls, and financially relevant data processing.</w:t>
      </w:r>
    </w:p>
    <w:p>
      <w:pPr>
        <w:pStyle w:val="ListBullet"/>
      </w:pPr>
      <w:r>
        <w:t>The ITGC scope shall include operating systems, cloud platforms, servers, storage, middleware, networks, and infrastructure components that directly support in-scope applications and databases.</w:t>
      </w:r>
    </w:p>
    <w:p>
      <w:pPr>
        <w:pStyle w:val="ListBullet"/>
      </w:pPr>
      <w:r>
        <w:t>The ITGC scope shall include identity and access management services used to authenticate users, manage privileged access, enforce password requirements, or approve access to in-scope systems.</w:t>
      </w:r>
    </w:p>
    <w:p>
      <w:pPr>
        <w:pStyle w:val="ListBullet"/>
      </w:pPr>
      <w:r>
        <w:t>The ITGC scope shall include change management tools, release management tools, source code repositories, deployment pipelines, and job scheduling tools supporting in-scope systems.</w:t>
      </w:r>
    </w:p>
    <w:p>
      <w:pPr>
        <w:pStyle w:val="ListBullet"/>
      </w:pPr>
      <w:r>
        <w:t>The ITGC scope shall include IT operations controls over batch jobs, backups, incident management, problem management, monitoring, and disaster recovery where those activities support financial reporting system reliability and data integrity.</w:t>
      </w:r>
    </w:p>
    <w:p>
      <w:pPr>
        <w:pStyle w:val="ListBullet"/>
      </w:pPr>
      <w:r>
        <w:t>The ITGC scope shall include third-party technology providers and outsourced business process providers where their services affect financial reporting systems, key controls, transaction processing, hosting, system administration, report generation, or data storage.</w:t>
      </w:r>
    </w:p>
    <w:p>
      <w:pPr>
        <w:pStyle w:val="ListBullet"/>
      </w:pPr>
      <w:r>
        <w:t>The organisation shall obtain and evaluate relevant third-party assurance reports, bridge letters, complementary user-entity control requirements, service descriptions, and subservice provider dependencies for in-scope service providers.</w:t>
      </w:r>
    </w:p>
    <w:p>
      <w:pPr>
        <w:pStyle w:val="ListBullet"/>
      </w:pPr>
      <w:r>
        <w:t>The ITGC scope shall identify user departments, control owners, system owners, process owners, IT owners, and service providers responsible for each in-scope system, report, interface, and technology layer.</w:t>
      </w:r>
    </w:p>
    <w:p>
      <w:pPr>
        <w:pStyle w:val="ListBullet"/>
      </w:pPr>
      <w:r>
        <w:t>Each in-scope system shall be assigned a documented financial relevance rating based on its impact on financial reporting.</w:t>
      </w:r>
    </w:p>
    <w:p>
      <w:pPr>
        <w:pStyle w:val="ListBullet"/>
      </w:pPr>
      <w:r>
        <w:t>The scoping assessment shall consider quantitative financial significance and qualitative risk factors, including transaction volume, complexity, susceptibility to error or fraud, level of automation, reliance on system calculations, and degree of manual intervention.</w:t>
      </w:r>
    </w:p>
    <w:p>
      <w:pPr>
        <w:pStyle w:val="ListBullet"/>
      </w:pPr>
      <w:r>
        <w:t>The organisation shall document the rationale for including or excluding financially relevant systems, reports, interfaces, technology layers, and service providers.</w:t>
      </w:r>
    </w:p>
    <w:p>
      <w:pPr>
        <w:pStyle w:val="ListBullet"/>
      </w:pPr>
      <w:r>
        <w:t>Exclusions from ITGC scope shall be supported by documented analysis demonstrating that the excluded item does not create a reasonable risk to financial reporting reliability.</w:t>
      </w:r>
    </w:p>
    <w:p>
      <w:pPr>
        <w:pStyle w:val="ListBullet"/>
      </w:pPr>
      <w:r>
        <w:t>Systems used only for operational reporting shall be excluded from SOX ITGC scope only where the organisation has documented that they are not relied upon for financial reporting controls, financial statement preparation, or disclosure support.</w:t>
      </w:r>
    </w:p>
    <w:p>
      <w:pPr>
        <w:pStyle w:val="ListBullet"/>
      </w:pPr>
      <w:r>
        <w:t>Read-only reporting tools, data warehouses, and analytics platforms shall be included where their outputs are relied upon for financial reporting, management review controls, reconciliations, or disclosure support.</w:t>
      </w:r>
    </w:p>
    <w:p>
      <w:pPr>
        <w:pStyle w:val="ListBullet"/>
      </w:pPr>
      <w:r>
        <w:t>Spreadsheets and end-user computing tools shall be assessed for inclusion where they perform financially significant calculations, aggregate financial data, transform report outputs, or support key control evidence.</w:t>
      </w:r>
    </w:p>
    <w:p>
      <w:pPr>
        <w:pStyle w:val="ListBullet"/>
      </w:pPr>
      <w:r>
        <w:t>The ITGC scope shall clearly map in-scope systems and reports to related business processes, financial statement areas, and control activities.</w:t>
      </w:r>
    </w:p>
    <w:p>
      <w:pPr>
        <w:pStyle w:val="ListBullet"/>
      </w:pPr>
      <w:r>
        <w:t>The ITGC scope shall define the relevant ITGC domains applicable to each in-scope technology environment, including access management, change management, computer operations, backup and recovery, incident management, job processing, and third-party oversight.</w:t>
      </w:r>
    </w:p>
    <w:p>
      <w:pPr>
        <w:pStyle w:val="ListBullet"/>
      </w:pPr>
      <w:r>
        <w:t>The ITGC scope shall distinguish between controls performed by the organisation and controls performed by third parties.</w:t>
      </w:r>
    </w:p>
    <w:p>
      <w:pPr>
        <w:pStyle w:val="ListBullet"/>
      </w:pPr>
      <w:r>
        <w:t>The organisation shall maintain an inventory of in-scope systems, reports, interfaces, technology layers, and service providers.</w:t>
      </w:r>
    </w:p>
    <w:p>
      <w:pPr>
        <w:pStyle w:val="ListBullet"/>
      </w:pPr>
      <w:r>
        <w:t>The inventory shall be updated when new systems are implemented, systems are retired, financial reporting processes change, or technology dependencies are materially modified.</w:t>
      </w:r>
    </w:p>
    <w:p>
      <w:pPr>
        <w:pStyle w:val="ListBullet"/>
      </w:pPr>
      <w:r>
        <w:t>New systems supporting financial reporting shall be assessed for SOX ITGC scope before production use or before reliance on the system for financial reporting controls.</w:t>
      </w:r>
    </w:p>
    <w:p>
      <w:pPr>
        <w:pStyle w:val="ListBullet"/>
      </w:pPr>
      <w:r>
        <w:t>Material changes to in-scope systems, including cloud migration, major version upgrades, significant configuration changes, new modules, new interfaces, or changes in hosting arrangements, shall trigger a scoping reassessment.</w:t>
      </w:r>
    </w:p>
    <w:p>
      <w:pPr>
        <w:pStyle w:val="ListBullet"/>
      </w:pPr>
      <w:r>
        <w:t>Acquisitions, divestitures, legal entity changes, shared service transitions, or process migrations shall trigger a reassessment of the ITGC scope.</w:t>
      </w:r>
    </w:p>
    <w:p>
      <w:pPr>
        <w:pStyle w:val="ListBullet"/>
      </w:pPr>
      <w:r>
        <w:t>The SOX Compliance Owner shall coordinate the annual ITGC scoping process with Finance, Internal Audit, IT, system owners, business process owners, and external audit stakeholders as appropriate.</w:t>
      </w:r>
    </w:p>
    <w:p>
      <w:pPr>
        <w:pStyle w:val="ListBullet"/>
      </w:pPr>
      <w:r>
        <w:t>The annual ITGC Scoping Memo shall be reviewed and approved by accountable Finance and IT leadership before control testing begins for the fiscal year.</w:t>
      </w:r>
    </w:p>
    <w:p>
      <w:pPr>
        <w:pStyle w:val="ListBullet"/>
      </w:pPr>
      <w:r>
        <w:t>The approved ITGC Scoping Memo shall be retained as formal SOX compliance evidence.</w:t>
      </w:r>
    </w:p>
    <w:p>
      <w:pPr>
        <w:pStyle w:val="ListBullet"/>
      </w:pPr>
      <w:r>
        <w:t>Changes to the approved ITGC scope during the fiscal year shall be documented, justified, risk-assessed, approved, and communicated to impacted control owners and testing teams.</w:t>
      </w:r>
    </w:p>
    <w:p>
      <w:pPr>
        <w:pStyle w:val="ListBullet"/>
      </w:pPr>
      <w:r>
        <w:t>The organisation shall ensure that the ITGC scope is aligned with the financial reporting risk assessment, control matrix, system inventory, report inventory, service provider inventory, and testing plan.</w:t>
      </w:r>
    </w:p>
    <w:p>
      <w:pPr>
        <w:pStyle w:val="ListBullet"/>
      </w:pPr>
      <w:r>
        <w:t>The ITGC scope shall be sufficiently detailed to allow management, Internal Audit, and external auditors to understand why each system, report, interface, or technology layer is included or excluded.</w:t>
      </w:r>
    </w:p>
    <w:p>
      <w:pPr>
        <w:pStyle w:val="ListBullet"/>
      </w:pPr>
      <w:r>
        <w:t>The organisation shall not rely on undocumented verbal representations as the sole basis for scoping decisions.</w:t>
      </w:r>
    </w:p>
    <w:p>
      <w:pPr>
        <w:pStyle w:val="ListBullet"/>
      </w:pPr>
      <w:r>
        <w:t>All scoping decisions shall be supported by current evidence, including system inventories, process narratives, data flow diagrams, control matrices, report listings, architecture diagrams, service provider documentation, and management inquiry records where applicable.</w:t>
      </w:r>
    </w:p>
    <w:p>
      <w:pPr>
        <w:pStyle w:val="ListBullet"/>
      </w:pPr>
      <w:r>
        <w:t>The ITGC scope shall be maintained in a controlled repository with version history, access restrictions, and retention aligned to SOX evidence retention requirements.</w:t>
      </w:r>
    </w:p>
    <w:p>
      <w:pPr>
        <w:pStyle w:val="ListBullet"/>
      </w:pPr>
      <w:r>
        <w:t>The organisation shall prohibit unauthorised changes to the approved ITGC Scoping Memo.</w:t>
      </w:r>
    </w:p>
    <w:p>
      <w:pPr>
        <w:pStyle w:val="ListBullet"/>
      </w:pPr>
      <w:r>
        <w:t>The ITGC Scoping Memo shall include, or reference, the following minimum content:</w:t>
      </w:r>
    </w:p>
    <w:tbl>
      <w:tblPr>
        <w:tblStyle w:val="TableGrid"/>
        <w:tblW w:type="auto" w:w="0"/>
        <w:tblLook w:firstColumn="1" w:firstRow="1" w:lastColumn="0" w:lastRow="0" w:noHBand="0" w:noVBand="1" w:val="04A0"/>
      </w:tblPr>
      <w:tblGrid>
        <w:gridCol w:w="4320"/>
        <w:gridCol w:w="4320"/>
      </w:tblGrid>
      <w:tr>
        <w:tc>
          <w:tcPr>
            <w:tcW w:type="dxa" w:w="4320"/>
          </w:tcPr>
          <w:p>
            <w:r>
              <w:t>Required Content</w:t>
            </w:r>
          </w:p>
        </w:tc>
        <w:tc>
          <w:tcPr>
            <w:tcW w:type="dxa" w:w="4320"/>
          </w:tcPr>
          <w:p>
            <w:r>
              <w:t>Mandatory Requirement</w:t>
            </w:r>
          </w:p>
        </w:tc>
      </w:tr>
      <w:tr>
        <w:tc>
          <w:tcPr>
            <w:tcW w:type="dxa" w:w="4320"/>
          </w:tcPr>
          <w:p>
            <w:r>
              <w:t>Fiscal year and reporting period</w:t>
            </w:r>
          </w:p>
        </w:tc>
        <w:tc>
          <w:tcPr>
            <w:tcW w:type="dxa" w:w="4320"/>
          </w:tcPr>
          <w:p>
            <w:r>
              <w:t>The memo shall identify the SOX year and reporting period covered.</w:t>
            </w:r>
          </w:p>
        </w:tc>
      </w:tr>
      <w:tr>
        <w:tc>
          <w:tcPr>
            <w:tcW w:type="dxa" w:w="4320"/>
          </w:tcPr>
          <w:p>
            <w:r>
              <w:t>Scoping methodology</w:t>
            </w:r>
          </w:p>
        </w:tc>
        <w:tc>
          <w:tcPr>
            <w:tcW w:type="dxa" w:w="4320"/>
          </w:tcPr>
          <w:p>
            <w:r>
              <w:t>The memo shall explain how systems, reports, interfaces, and technology layers were evaluated.</w:t>
            </w:r>
          </w:p>
        </w:tc>
      </w:tr>
      <w:tr>
        <w:tc>
          <w:tcPr>
            <w:tcW w:type="dxa" w:w="4320"/>
          </w:tcPr>
          <w:p>
            <w:r>
              <w:t>Financial reporting linkage</w:t>
            </w:r>
          </w:p>
        </w:tc>
        <w:tc>
          <w:tcPr>
            <w:tcW w:type="dxa" w:w="4320"/>
          </w:tcPr>
          <w:p>
            <w:r>
              <w:t>The memo shall map in-scope items to relevant financial reporting processes or control areas.</w:t>
            </w:r>
          </w:p>
        </w:tc>
      </w:tr>
      <w:tr>
        <w:tc>
          <w:tcPr>
            <w:tcW w:type="dxa" w:w="4320"/>
          </w:tcPr>
          <w:p>
            <w:r>
              <w:t>In-scope systems</w:t>
            </w:r>
          </w:p>
        </w:tc>
        <w:tc>
          <w:tcPr>
            <w:tcW w:type="dxa" w:w="4320"/>
          </w:tcPr>
          <w:p>
            <w:r>
              <w:t>The memo shall list each in-scope application and its purpose.</w:t>
            </w:r>
          </w:p>
        </w:tc>
      </w:tr>
      <w:tr>
        <w:tc>
          <w:tcPr>
            <w:tcW w:type="dxa" w:w="4320"/>
          </w:tcPr>
          <w:p>
            <w:r>
              <w:t>Key reports</w:t>
            </w:r>
          </w:p>
        </w:tc>
        <w:tc>
          <w:tcPr>
            <w:tcW w:type="dxa" w:w="4320"/>
          </w:tcPr>
          <w:p>
            <w:r>
              <w:t>The memo shall list key reports and their use in financial controls.</w:t>
            </w:r>
          </w:p>
        </w:tc>
      </w:tr>
      <w:tr>
        <w:tc>
          <w:tcPr>
            <w:tcW w:type="dxa" w:w="4320"/>
          </w:tcPr>
          <w:p>
            <w:r>
              <w:t>Interfaces</w:t>
            </w:r>
          </w:p>
        </w:tc>
        <w:tc>
          <w:tcPr>
            <w:tcW w:type="dxa" w:w="4320"/>
          </w:tcPr>
          <w:p>
            <w:r>
              <w:t>The memo shall identify financially relevant interfaces and data flows.</w:t>
            </w:r>
          </w:p>
        </w:tc>
      </w:tr>
      <w:tr>
        <w:tc>
          <w:tcPr>
            <w:tcW w:type="dxa" w:w="4320"/>
          </w:tcPr>
          <w:p>
            <w:r>
              <w:t>Technology layers</w:t>
            </w:r>
          </w:p>
        </w:tc>
        <w:tc>
          <w:tcPr>
            <w:tcW w:type="dxa" w:w="4320"/>
          </w:tcPr>
          <w:p>
            <w:r>
              <w:t>The memo shall identify supporting databases, infrastructure, security services, and operational tools.</w:t>
            </w:r>
          </w:p>
        </w:tc>
      </w:tr>
      <w:tr>
        <w:tc>
          <w:tcPr>
            <w:tcW w:type="dxa" w:w="4320"/>
          </w:tcPr>
          <w:p>
            <w:r>
              <w:t>Third parties</w:t>
            </w:r>
          </w:p>
        </w:tc>
        <w:tc>
          <w:tcPr>
            <w:tcW w:type="dxa" w:w="4320"/>
          </w:tcPr>
          <w:p>
            <w:r>
              <w:t>The memo shall identify service providers supporting financial systems or controls.</w:t>
            </w:r>
          </w:p>
        </w:tc>
      </w:tr>
      <w:tr>
        <w:tc>
          <w:tcPr>
            <w:tcW w:type="dxa" w:w="4320"/>
          </w:tcPr>
          <w:p>
            <w:r>
              <w:t>Exclusions</w:t>
            </w:r>
          </w:p>
        </w:tc>
        <w:tc>
          <w:tcPr>
            <w:tcW w:type="dxa" w:w="4320"/>
          </w:tcPr>
          <w:p>
            <w:r>
              <w:t>The memo shall document excluded systems or components and the rationale.</w:t>
            </w:r>
          </w:p>
        </w:tc>
      </w:tr>
      <w:tr>
        <w:tc>
          <w:tcPr>
            <w:tcW w:type="dxa" w:w="4320"/>
          </w:tcPr>
          <w:p>
            <w:r>
              <w:t>Changes from prior year</w:t>
            </w:r>
          </w:p>
        </w:tc>
        <w:tc>
          <w:tcPr>
            <w:tcW w:type="dxa" w:w="4320"/>
          </w:tcPr>
          <w:p>
            <w:r>
              <w:t>The memo shall summarise additions, removals, and significant changes.</w:t>
            </w:r>
          </w:p>
        </w:tc>
      </w:tr>
      <w:tr>
        <w:tc>
          <w:tcPr>
            <w:tcW w:type="dxa" w:w="4320"/>
          </w:tcPr>
          <w:p>
            <w:r>
              <w:t>Approvals</w:t>
            </w:r>
          </w:p>
        </w:tc>
        <w:tc>
          <w:tcPr>
            <w:tcW w:type="dxa" w:w="4320"/>
          </w:tcPr>
          <w:p>
            <w:r>
              <w:t>The memo shall evidence review and approval by accountable stakeholders.</w:t>
            </w:r>
          </w:p>
        </w:tc>
      </w:tr>
    </w:tbl>
    <w:p>
      <w:pPr>
        <w:pStyle w:val="ListBullet"/>
      </w:pPr>
      <w:r>
        <w:t>The organisation shall maintain the following minimum scoping attributes for each in-scope application: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Requirement</w:t>
            </w:r>
          </w:p>
        </w:tc>
      </w:tr>
      <w:tr>
        <w:tc>
          <w:tcPr>
            <w:tcW w:type="dxa" w:w="4320"/>
          </w:tcPr>
          <w:p>
            <w:r>
              <w:t>System name</w:t>
            </w:r>
          </w:p>
        </w:tc>
        <w:tc>
          <w:tcPr>
            <w:tcW w:type="dxa" w:w="4320"/>
          </w:tcPr>
          <w:p>
            <w:r>
              <w:t>The official application name shall be recorded.</w:t>
            </w:r>
          </w:p>
        </w:tc>
      </w:tr>
      <w:tr>
        <w:tc>
          <w:tcPr>
            <w:tcW w:type="dxa" w:w="4320"/>
          </w:tcPr>
          <w:p>
            <w:r>
              <w:t>System owner</w:t>
            </w:r>
          </w:p>
        </w:tc>
        <w:tc>
          <w:tcPr>
            <w:tcW w:type="dxa" w:w="4320"/>
          </w:tcPr>
          <w:p>
            <w:r>
              <w:t>The accountable business or IT owner shall be identified.</w:t>
            </w:r>
          </w:p>
        </w:tc>
      </w:tr>
      <w:tr>
        <w:tc>
          <w:tcPr>
            <w:tcW w:type="dxa" w:w="4320"/>
          </w:tcPr>
          <w:p>
            <w:r>
              <w:t>Business process</w:t>
            </w:r>
          </w:p>
        </w:tc>
        <w:tc>
          <w:tcPr>
            <w:tcW w:type="dxa" w:w="4320"/>
          </w:tcPr>
          <w:p>
            <w:r>
              <w:t>The supported financial reporting process shall be documented.</w:t>
            </w:r>
          </w:p>
        </w:tc>
      </w:tr>
      <w:tr>
        <w:tc>
          <w:tcPr>
            <w:tcW w:type="dxa" w:w="4320"/>
          </w:tcPr>
          <w:p>
            <w:r>
              <w:t>Financial relevance</w:t>
            </w:r>
          </w:p>
        </w:tc>
        <w:tc>
          <w:tcPr>
            <w:tcW w:type="dxa" w:w="4320"/>
          </w:tcPr>
          <w:p>
            <w:r>
              <w:t>The nature of financial reporting reliance shall be described.</w:t>
            </w:r>
          </w:p>
        </w:tc>
      </w:tr>
      <w:tr>
        <w:tc>
          <w:tcPr>
            <w:tcW w:type="dxa" w:w="4320"/>
          </w:tcPr>
          <w:p>
            <w:r>
              <w:t>Transaction type</w:t>
            </w:r>
          </w:p>
        </w:tc>
        <w:tc>
          <w:tcPr>
            <w:tcW w:type="dxa" w:w="4320"/>
          </w:tcPr>
          <w:p>
            <w:r>
              <w:t>Key financial transaction types processed by the system shall be identified.</w:t>
            </w:r>
          </w:p>
        </w:tc>
      </w:tr>
      <w:tr>
        <w:tc>
          <w:tcPr>
            <w:tcW w:type="dxa" w:w="4320"/>
          </w:tcPr>
          <w:p>
            <w:r>
              <w:t>Key controls supported</w:t>
            </w:r>
          </w:p>
        </w:tc>
        <w:tc>
          <w:tcPr>
            <w:tcW w:type="dxa" w:w="4320"/>
          </w:tcPr>
          <w:p>
            <w:r>
              <w:t>Relevant financial reporting controls shall be referenced by business description.</w:t>
            </w:r>
          </w:p>
        </w:tc>
      </w:tr>
      <w:tr>
        <w:tc>
          <w:tcPr>
            <w:tcW w:type="dxa" w:w="4320"/>
          </w:tcPr>
          <w:p>
            <w:r>
              <w:t>Hosting model</w:t>
            </w:r>
          </w:p>
        </w:tc>
        <w:tc>
          <w:tcPr>
            <w:tcW w:type="dxa" w:w="4320"/>
          </w:tcPr>
          <w:p>
            <w:r>
              <w:t>The environment shall be identified as on-premises, cloud, SaaS, or hosted by a third party.</w:t>
            </w:r>
          </w:p>
        </w:tc>
      </w:tr>
      <w:tr>
        <w:tc>
          <w:tcPr>
            <w:tcW w:type="dxa" w:w="4320"/>
          </w:tcPr>
          <w:p>
            <w:r>
              <w:t>Key dependencies</w:t>
            </w:r>
          </w:p>
        </w:tc>
        <w:tc>
          <w:tcPr>
            <w:tcW w:type="dxa" w:w="4320"/>
          </w:tcPr>
          <w:p>
            <w:r>
              <w:t>Databases, infrastructure, identity services, interfaces, and reporting tools shall be listed.</w:t>
            </w:r>
          </w:p>
        </w:tc>
      </w:tr>
      <w:tr>
        <w:tc>
          <w:tcPr>
            <w:tcW w:type="dxa" w:w="4320"/>
          </w:tcPr>
          <w:p>
            <w:r>
              <w:t>ITGC domains</w:t>
            </w:r>
          </w:p>
        </w:tc>
        <w:tc>
          <w:tcPr>
            <w:tcW w:type="dxa" w:w="4320"/>
          </w:tcPr>
          <w:p>
            <w:r>
              <w:t>Applicable ITGC areas shall be defined.</w:t>
            </w:r>
          </w:p>
        </w:tc>
      </w:tr>
      <w:tr>
        <w:tc>
          <w:tcPr>
            <w:tcW w:type="dxa" w:w="4320"/>
          </w:tcPr>
          <w:p>
            <w:r>
              <w:t>Service provider involvement</w:t>
            </w:r>
          </w:p>
        </w:tc>
        <w:tc>
          <w:tcPr>
            <w:tcW w:type="dxa" w:w="4320"/>
          </w:tcPr>
          <w:p>
            <w:r>
              <w:t>Any outsourced operation, administration, hosting, or processing shall be documented.</w:t>
            </w:r>
          </w:p>
        </w:tc>
      </w:tr>
    </w:tbl>
    <w:p>
      <w:pPr>
        <w:pStyle w:val="ListBullet"/>
      </w:pPr>
      <w:r>
        <w:t>The organisation shall maintain the following minimum scoping attributes for each key report: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Requirement</w:t>
            </w:r>
          </w:p>
        </w:tc>
      </w:tr>
      <w:tr>
        <w:tc>
          <w:tcPr>
            <w:tcW w:type="dxa" w:w="4320"/>
          </w:tcPr>
          <w:p>
            <w:r>
              <w:t>Report name</w:t>
            </w:r>
          </w:p>
        </w:tc>
        <w:tc>
          <w:tcPr>
            <w:tcW w:type="dxa" w:w="4320"/>
          </w:tcPr>
          <w:p>
            <w:r>
              <w:t>The report or extract name shall be recorded.</w:t>
            </w:r>
          </w:p>
        </w:tc>
      </w:tr>
      <w:tr>
        <w:tc>
          <w:tcPr>
            <w:tcW w:type="dxa" w:w="4320"/>
          </w:tcPr>
          <w:p>
            <w:r>
              <w:t>Report owner</w:t>
            </w:r>
          </w:p>
        </w:tc>
        <w:tc>
          <w:tcPr>
            <w:tcW w:type="dxa" w:w="4320"/>
          </w:tcPr>
          <w:p>
            <w:r>
              <w:t>The accountable business owner shall be identified.</w:t>
            </w:r>
          </w:p>
        </w:tc>
      </w:tr>
      <w:tr>
        <w:tc>
          <w:tcPr>
            <w:tcW w:type="dxa" w:w="4320"/>
          </w:tcPr>
          <w:p>
            <w:r>
              <w:t>Source system</w:t>
            </w:r>
          </w:p>
        </w:tc>
        <w:tc>
          <w:tcPr>
            <w:tcW w:type="dxa" w:w="4320"/>
          </w:tcPr>
          <w:p>
            <w:r>
              <w:t>The originating system or data repository shall be documented.</w:t>
            </w:r>
          </w:p>
        </w:tc>
      </w:tr>
      <w:tr>
        <w:tc>
          <w:tcPr>
            <w:tcW w:type="dxa" w:w="4320"/>
          </w:tcPr>
          <w:p>
            <w:r>
              <w:t>Purpose</w:t>
            </w:r>
          </w:p>
        </w:tc>
        <w:tc>
          <w:tcPr>
            <w:tcW w:type="dxa" w:w="4320"/>
          </w:tcPr>
          <w:p>
            <w:r>
              <w:t>The financial reporting use shall be described.</w:t>
            </w:r>
          </w:p>
        </w:tc>
      </w:tr>
      <w:tr>
        <w:tc>
          <w:tcPr>
            <w:tcW w:type="dxa" w:w="4320"/>
          </w:tcPr>
          <w:p>
            <w:r>
              <w:t>Frequency</w:t>
            </w:r>
          </w:p>
        </w:tc>
        <w:tc>
          <w:tcPr>
            <w:tcW w:type="dxa" w:w="4320"/>
          </w:tcPr>
          <w:p>
            <w:r>
              <w:t>The generation and use frequency shall be recorded.</w:t>
            </w:r>
          </w:p>
        </w:tc>
      </w:tr>
      <w:tr>
        <w:tc>
          <w:tcPr>
            <w:tcW w:type="dxa" w:w="4320"/>
          </w:tcPr>
          <w:p>
            <w:r>
              <w:t>Report type</w:t>
            </w:r>
          </w:p>
        </w:tc>
        <w:tc>
          <w:tcPr>
            <w:tcW w:type="dxa" w:w="4320"/>
          </w:tcPr>
          <w:p>
            <w:r>
              <w:t>The report shall be classified as standard, configurable, custom, query, dashboard, extract, or end-user tool.</w:t>
            </w:r>
          </w:p>
        </w:tc>
      </w:tr>
      <w:tr>
        <w:tc>
          <w:tcPr>
            <w:tcW w:type="dxa" w:w="4320"/>
          </w:tcPr>
          <w:p>
            <w:r>
              <w:t>Parameters</w:t>
            </w:r>
          </w:p>
        </w:tc>
        <w:tc>
          <w:tcPr>
            <w:tcW w:type="dxa" w:w="4320"/>
          </w:tcPr>
          <w:p>
            <w:r>
              <w:t>Key report parameters or filters shall be documented where relevant.</w:t>
            </w:r>
          </w:p>
        </w:tc>
      </w:tr>
      <w:tr>
        <w:tc>
          <w:tcPr>
            <w:tcW w:type="dxa" w:w="4320"/>
          </w:tcPr>
          <w:p>
            <w:r>
              <w:t>Logic owner</w:t>
            </w:r>
          </w:p>
        </w:tc>
        <w:tc>
          <w:tcPr>
            <w:tcW w:type="dxa" w:w="4320"/>
          </w:tcPr>
          <w:p>
            <w:r>
              <w:t>The owner of report logic, configuration, query, or calculation shall be identified.</w:t>
            </w:r>
          </w:p>
        </w:tc>
      </w:tr>
      <w:tr>
        <w:tc>
          <w:tcPr>
            <w:tcW w:type="dxa" w:w="4320"/>
          </w:tcPr>
          <w:p>
            <w:r>
              <w:t>Control usage</w:t>
            </w:r>
          </w:p>
        </w:tc>
        <w:tc>
          <w:tcPr>
            <w:tcW w:type="dxa" w:w="4320"/>
          </w:tcPr>
          <w:p>
            <w:r>
              <w:t>The related financial reporting control activity shall be described.</w:t>
            </w:r>
          </w:p>
        </w:tc>
      </w:tr>
      <w:tr>
        <w:tc>
          <w:tcPr>
            <w:tcW w:type="dxa" w:w="4320"/>
          </w:tcPr>
          <w:p>
            <w:r>
              <w:t>Completeness and accuracy approach</w:t>
            </w:r>
          </w:p>
        </w:tc>
        <w:tc>
          <w:tcPr>
            <w:tcW w:type="dxa" w:w="4320"/>
          </w:tcPr>
          <w:p>
            <w:r>
              <w:t>The method for validating report reliability shall be documented.</w:t>
            </w:r>
          </w:p>
        </w:tc>
      </w:tr>
    </w:tbl>
    <w:p>
      <w:pPr>
        <w:pStyle w:val="ListBullet"/>
      </w:pPr>
      <w:r>
        <w:t>The organisation shall maintain the following minimum scoping attributes for each in-scope interface: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Requirement</w:t>
            </w:r>
          </w:p>
        </w:tc>
      </w:tr>
      <w:tr>
        <w:tc>
          <w:tcPr>
            <w:tcW w:type="dxa" w:w="4320"/>
          </w:tcPr>
          <w:p>
            <w:r>
              <w:t>Interface name</w:t>
            </w:r>
          </w:p>
        </w:tc>
        <w:tc>
          <w:tcPr>
            <w:tcW w:type="dxa" w:w="4320"/>
          </w:tcPr>
          <w:p>
            <w:r>
              <w:t>The interface or data transfer name shall be recorded.</w:t>
            </w:r>
          </w:p>
        </w:tc>
      </w:tr>
      <w:tr>
        <w:tc>
          <w:tcPr>
            <w:tcW w:type="dxa" w:w="4320"/>
          </w:tcPr>
          <w:p>
            <w:r>
              <w:t>Source system</w:t>
            </w:r>
          </w:p>
        </w:tc>
        <w:tc>
          <w:tcPr>
            <w:tcW w:type="dxa" w:w="4320"/>
          </w:tcPr>
          <w:p>
            <w:r>
              <w:t>The originating system shall be identified.</w:t>
            </w:r>
          </w:p>
        </w:tc>
      </w:tr>
      <w:tr>
        <w:tc>
          <w:tcPr>
            <w:tcW w:type="dxa" w:w="4320"/>
          </w:tcPr>
          <w:p>
            <w:r>
              <w:t>Destination system</w:t>
            </w:r>
          </w:p>
        </w:tc>
        <w:tc>
          <w:tcPr>
            <w:tcW w:type="dxa" w:w="4320"/>
          </w:tcPr>
          <w:p>
            <w:r>
              <w:t>The receiving system shall be identified.</w:t>
            </w:r>
          </w:p>
        </w:tc>
      </w:tr>
      <w:tr>
        <w:tc>
          <w:tcPr>
            <w:tcW w:type="dxa" w:w="4320"/>
          </w:tcPr>
          <w:p>
            <w:r>
              <w:t>Data type</w:t>
            </w:r>
          </w:p>
        </w:tc>
        <w:tc>
          <w:tcPr>
            <w:tcW w:type="dxa" w:w="4320"/>
          </w:tcPr>
          <w:p>
            <w:r>
              <w:t>The financial data transferred shall be described.</w:t>
            </w:r>
          </w:p>
        </w:tc>
      </w:tr>
      <w:tr>
        <w:tc>
          <w:tcPr>
            <w:tcW w:type="dxa" w:w="4320"/>
          </w:tcPr>
          <w:p>
            <w:r>
              <w:t>Frequency</w:t>
            </w:r>
          </w:p>
        </w:tc>
        <w:tc>
          <w:tcPr>
            <w:tcW w:type="dxa" w:w="4320"/>
          </w:tcPr>
          <w:p>
            <w:r>
              <w:t>The interface schedule or trigger shall be documented.</w:t>
            </w:r>
          </w:p>
        </w:tc>
      </w:tr>
      <w:tr>
        <w:tc>
          <w:tcPr>
            <w:tcW w:type="dxa" w:w="4320"/>
          </w:tcPr>
          <w:p>
            <w:r>
              <w:t>Transfer method</w:t>
            </w:r>
          </w:p>
        </w:tc>
        <w:tc>
          <w:tcPr>
            <w:tcW w:type="dxa" w:w="4320"/>
          </w:tcPr>
          <w:p>
            <w:r>
              <w:t>The mechanism shall be identified, such as API, file transfer, batch job, middleware, or manual upload.</w:t>
            </w:r>
          </w:p>
        </w:tc>
      </w:tr>
      <w:tr>
        <w:tc>
          <w:tcPr>
            <w:tcW w:type="dxa" w:w="4320"/>
          </w:tcPr>
          <w:p>
            <w:r>
              <w:t>Error handling</w:t>
            </w:r>
          </w:p>
        </w:tc>
        <w:tc>
          <w:tcPr>
            <w:tcW w:type="dxa" w:w="4320"/>
          </w:tcPr>
          <w:p>
            <w:r>
              <w:t>The process for identifying and resolving rejects or failures shall be described.</w:t>
            </w:r>
          </w:p>
        </w:tc>
      </w:tr>
      <w:tr>
        <w:tc>
          <w:tcPr>
            <w:tcW w:type="dxa" w:w="4320"/>
          </w:tcPr>
          <w:p>
            <w:r>
              <w:t>Reconciliation</w:t>
            </w:r>
          </w:p>
        </w:tc>
        <w:tc>
          <w:tcPr>
            <w:tcW w:type="dxa" w:w="4320"/>
          </w:tcPr>
          <w:p>
            <w:r>
              <w:t>The applicable completeness and accuracy checks shall be documented.</w:t>
            </w:r>
          </w:p>
        </w:tc>
      </w:tr>
      <w:tr>
        <w:tc>
          <w:tcPr>
            <w:tcW w:type="dxa" w:w="4320"/>
          </w:tcPr>
          <w:p>
            <w:r>
              <w:t>Ownership</w:t>
            </w:r>
          </w:p>
        </w:tc>
        <w:tc>
          <w:tcPr>
            <w:tcW w:type="dxa" w:w="4320"/>
          </w:tcPr>
          <w:p>
            <w:r>
              <w:t>Business and IT owners shall be identified.</w:t>
            </w:r>
          </w:p>
        </w:tc>
      </w:tr>
      <w:tr>
        <w:tc>
          <w:tcPr>
            <w:tcW w:type="dxa" w:w="4320"/>
          </w:tcPr>
          <w:p>
            <w:r>
              <w:t>Financial reporting impact</w:t>
            </w:r>
          </w:p>
        </w:tc>
        <w:tc>
          <w:tcPr>
            <w:tcW w:type="dxa" w:w="4320"/>
          </w:tcPr>
          <w:p>
            <w:r>
              <w:t>The risk to financial reporting shall be described.</w:t>
            </w:r>
          </w:p>
        </w:tc>
      </w:tr>
    </w:tbl>
    <w:p>
      <w:pPr>
        <w:pStyle w:val="ListBullet"/>
      </w:pPr>
      <w:r>
        <w:t>The organisation shall maintain a documented change log for the ITGC Scoping Memo.</w:t>
      </w:r>
    </w:p>
    <w:tbl>
      <w:tblPr>
        <w:tblStyle w:val="TableGrid"/>
        <w:tblW w:type="auto" w:w="0"/>
        <w:tblLook w:firstColumn="1" w:firstRow="1" w:lastColumn="0" w:lastRow="0" w:noHBand="0" w:noVBand="1" w:val="04A0"/>
      </w:tblPr>
      <w:tblGrid>
        <w:gridCol w:w="2880"/>
        <w:gridCol w:w="2880"/>
        <w:gridCol w:w="2880"/>
      </w:tblGrid>
      <w:tr>
        <w:tc>
          <w:tcPr>
            <w:tcW w:type="dxa" w:w="2880"/>
          </w:tcPr>
          <w:p>
            <w:r>
              <w:t>Change Type</w:t>
            </w:r>
          </w:p>
        </w:tc>
        <w:tc>
          <w:tcPr>
            <w:tcW w:type="dxa" w:w="2880"/>
          </w:tcPr>
          <w:p>
            <w:r>
              <w:t>Examples</w:t>
            </w:r>
          </w:p>
        </w:tc>
        <w:tc>
          <w:tcPr>
            <w:tcW w:type="dxa" w:w="2880"/>
          </w:tcPr>
          <w:p>
            <w:r>
              <w:t>Required Action</w:t>
            </w:r>
          </w:p>
        </w:tc>
      </w:tr>
      <w:tr>
        <w:tc>
          <w:tcPr>
            <w:tcW w:type="dxa" w:w="2880"/>
          </w:tcPr>
          <w:p>
            <w:r>
              <w:t>New financial system</w:t>
            </w:r>
          </w:p>
        </w:tc>
        <w:tc>
          <w:tcPr>
            <w:tcW w:type="dxa" w:w="2880"/>
          </w:tcPr>
          <w:p>
            <w:r>
              <w:t>New revenue platform, new consolidation tool, new payroll system</w:t>
            </w:r>
          </w:p>
        </w:tc>
        <w:tc>
          <w:tcPr>
            <w:tcW w:type="dxa" w:w="2880"/>
          </w:tcPr>
          <w:p>
            <w:r>
              <w:t>Perform scoping assessment before reliance for financial reporting.</w:t>
            </w:r>
          </w:p>
        </w:tc>
      </w:tr>
      <w:tr>
        <w:tc>
          <w:tcPr>
            <w:tcW w:type="dxa" w:w="2880"/>
          </w:tcPr>
          <w:p>
            <w:r>
              <w:t>System retirement</w:t>
            </w:r>
          </w:p>
        </w:tc>
        <w:tc>
          <w:tcPr>
            <w:tcW w:type="dxa" w:w="2880"/>
          </w:tcPr>
          <w:p>
            <w:r>
              <w:t>Legacy system decommissioned after migration</w:t>
            </w:r>
          </w:p>
        </w:tc>
        <w:tc>
          <w:tcPr>
            <w:tcW w:type="dxa" w:w="2880"/>
          </w:tcPr>
          <w:p>
            <w:r>
              <w:t>Confirm no remaining financial reporting reliance before removal.</w:t>
            </w:r>
          </w:p>
        </w:tc>
      </w:tr>
      <w:tr>
        <w:tc>
          <w:tcPr>
            <w:tcW w:type="dxa" w:w="2880"/>
          </w:tcPr>
          <w:p>
            <w:r>
              <w:t>New key report</w:t>
            </w:r>
          </w:p>
        </w:tc>
        <w:tc>
          <w:tcPr>
            <w:tcW w:type="dxa" w:w="2880"/>
          </w:tcPr>
          <w:p>
            <w:r>
              <w:t>New management review report or disclosure support report</w:t>
            </w:r>
          </w:p>
        </w:tc>
        <w:tc>
          <w:tcPr>
            <w:tcW w:type="dxa" w:w="2880"/>
          </w:tcPr>
          <w:p>
            <w:r>
              <w:t>Assess report logic, source data, and completeness and accuracy controls.</w:t>
            </w:r>
          </w:p>
        </w:tc>
      </w:tr>
      <w:tr>
        <w:tc>
          <w:tcPr>
            <w:tcW w:type="dxa" w:w="2880"/>
          </w:tcPr>
          <w:p>
            <w:r>
              <w:t>Interface change</w:t>
            </w:r>
          </w:p>
        </w:tc>
        <w:tc>
          <w:tcPr>
            <w:tcW w:type="dxa" w:w="2880"/>
          </w:tcPr>
          <w:p>
            <w:r>
              <w:t>New general ledger feed or modified data mapping</w:t>
            </w:r>
          </w:p>
        </w:tc>
        <w:tc>
          <w:tcPr>
            <w:tcW w:type="dxa" w:w="2880"/>
          </w:tcPr>
          <w:p>
            <w:r>
              <w:t>Reassess interface controls and affected systems.</w:t>
            </w:r>
          </w:p>
        </w:tc>
      </w:tr>
      <w:tr>
        <w:tc>
          <w:tcPr>
            <w:tcW w:type="dxa" w:w="2880"/>
          </w:tcPr>
          <w:p>
            <w:r>
              <w:t>Hosting change</w:t>
            </w:r>
          </w:p>
        </w:tc>
        <w:tc>
          <w:tcPr>
            <w:tcW w:type="dxa" w:w="2880"/>
          </w:tcPr>
          <w:p>
            <w:r>
              <w:t>Migration from on-premises to cloud or managed hosting</w:t>
            </w:r>
          </w:p>
        </w:tc>
        <w:tc>
          <w:tcPr>
            <w:tcW w:type="dxa" w:w="2880"/>
          </w:tcPr>
          <w:p>
            <w:r>
              <w:t>Reassess infrastructure, access, operations, and third-party dependencies.</w:t>
            </w:r>
          </w:p>
        </w:tc>
      </w:tr>
      <w:tr>
        <w:tc>
          <w:tcPr>
            <w:tcW w:type="dxa" w:w="2880"/>
          </w:tcPr>
          <w:p>
            <w:r>
              <w:t>New service provider</w:t>
            </w:r>
          </w:p>
        </w:tc>
        <w:tc>
          <w:tcPr>
            <w:tcW w:type="dxa" w:w="2880"/>
          </w:tcPr>
          <w:p>
            <w:r>
              <w:t>Outsourced payroll, SaaS provider, managed IT provider</w:t>
            </w:r>
          </w:p>
        </w:tc>
        <w:tc>
          <w:tcPr>
            <w:tcW w:type="dxa" w:w="2880"/>
          </w:tcPr>
          <w:p>
            <w:r>
              <w:t>Evaluate assurance reports and user control responsibilities.</w:t>
            </w:r>
          </w:p>
        </w:tc>
      </w:tr>
      <w:tr>
        <w:tc>
          <w:tcPr>
            <w:tcW w:type="dxa" w:w="2880"/>
          </w:tcPr>
          <w:p>
            <w:r>
              <w:t>Acquisition or divestiture</w:t>
            </w:r>
          </w:p>
        </w:tc>
        <w:tc>
          <w:tcPr>
            <w:tcW w:type="dxa" w:w="2880"/>
          </w:tcPr>
          <w:p>
            <w:r>
              <w:t>Newly acquired entity or disposed business unit</w:t>
            </w:r>
          </w:p>
        </w:tc>
        <w:tc>
          <w:tcPr>
            <w:tcW w:type="dxa" w:w="2880"/>
          </w:tcPr>
          <w:p>
            <w:r>
              <w:t>Reassess system and process scope.</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Audit Committee / Board Oversight Body</w:t>
            </w:r>
          </w:p>
        </w:tc>
        <w:tc>
          <w:tcPr>
            <w:tcW w:type="dxa" w:w="4320"/>
          </w:tcPr>
          <w:p>
            <w:r>
              <w:t>Provides oversight of management’s responsibilities for internal control over financial reporting and receives escalation of significant ITGC scoping issues.</w:t>
            </w:r>
          </w:p>
        </w:tc>
      </w:tr>
      <w:tr>
        <w:tc>
          <w:tcPr>
            <w:tcW w:type="dxa" w:w="4320"/>
          </w:tcPr>
          <w:p>
            <w:r>
              <w:t>Chief Financial Officer</w:t>
            </w:r>
          </w:p>
        </w:tc>
        <w:tc>
          <w:tcPr>
            <w:tcW w:type="dxa" w:w="4320"/>
          </w:tcPr>
          <w:p>
            <w:r>
              <w:t>Owns management accountability for financial reporting control scope and approves significant scoping decisions affecting financial reporting.</w:t>
            </w:r>
          </w:p>
        </w:tc>
      </w:tr>
      <w:tr>
        <w:tc>
          <w:tcPr>
            <w:tcW w:type="dxa" w:w="4320"/>
          </w:tcPr>
          <w:p>
            <w:r>
              <w:t>Chief Information Officer / Technology Executive</w:t>
            </w:r>
          </w:p>
        </w:tc>
        <w:tc>
          <w:tcPr>
            <w:tcW w:type="dxa" w:w="4320"/>
          </w:tcPr>
          <w:p>
            <w:r>
              <w:t>Owns IT accountability for systems, infrastructure, and technology services supporting financial reporting.</w:t>
            </w:r>
          </w:p>
        </w:tc>
      </w:tr>
      <w:tr>
        <w:tc>
          <w:tcPr>
            <w:tcW w:type="dxa" w:w="4320"/>
          </w:tcPr>
          <w:p>
            <w:r>
              <w:t>SOX Compliance Owner</w:t>
            </w:r>
          </w:p>
        </w:tc>
        <w:tc>
          <w:tcPr>
            <w:tcW w:type="dxa" w:w="4320"/>
          </w:tcPr>
          <w:p>
            <w:r>
              <w:t>Leads the annual ITGC scoping process, maintains the ITGC Scoping Memo, coordinates stakeholder input, documents scoping decisions, and ensures approval and retention of the final memo.</w:t>
            </w:r>
          </w:p>
        </w:tc>
      </w:tr>
      <w:tr>
        <w:tc>
          <w:tcPr>
            <w:tcW w:type="dxa" w:w="4320"/>
          </w:tcPr>
          <w:p>
            <w:r>
              <w:t>Controller / Finance Process Owners</w:t>
            </w:r>
          </w:p>
        </w:tc>
        <w:tc>
          <w:tcPr>
            <w:tcW w:type="dxa" w:w="4320"/>
          </w:tcPr>
          <w:p>
            <w:r>
              <w:t>Identify financial reporting processes, significant accounts, disclosures, key reports, management review controls, and reliance on system-generated information.</w:t>
            </w:r>
          </w:p>
        </w:tc>
      </w:tr>
      <w:tr>
        <w:tc>
          <w:tcPr>
            <w:tcW w:type="dxa" w:w="4320"/>
          </w:tcPr>
          <w:p>
            <w:r>
              <w:t>IT Control Owner</w:t>
            </w:r>
          </w:p>
        </w:tc>
        <w:tc>
          <w:tcPr>
            <w:tcW w:type="dxa" w:w="4320"/>
          </w:tcPr>
          <w:p>
            <w:r>
              <w:t>Confirms applicable ITGC domains, control ownership, technology dependencies, and operational control coverage for in-scope systems.</w:t>
            </w:r>
          </w:p>
        </w:tc>
      </w:tr>
      <w:tr>
        <w:tc>
          <w:tcPr>
            <w:tcW w:type="dxa" w:w="4320"/>
          </w:tcPr>
          <w:p>
            <w:r>
              <w:t>System Owner</w:t>
            </w:r>
          </w:p>
        </w:tc>
        <w:tc>
          <w:tcPr>
            <w:tcW w:type="dxa" w:w="4320"/>
          </w:tcPr>
          <w:p>
            <w:r>
              <w:t>Provides system purpose, ownership, data flow, interface, report, access, change, and operational dependency information for assigned systems.</w:t>
            </w:r>
          </w:p>
        </w:tc>
      </w:tr>
      <w:tr>
        <w:tc>
          <w:tcPr>
            <w:tcW w:type="dxa" w:w="4320"/>
          </w:tcPr>
          <w:p>
            <w:r>
              <w:t>Report Owner</w:t>
            </w:r>
          </w:p>
        </w:tc>
        <w:tc>
          <w:tcPr>
            <w:tcW w:type="dxa" w:w="4320"/>
          </w:tcPr>
          <w:p>
            <w:r>
              <w:t>Confirms report usage, parameters, source data, logic, frequency, and financial reporting control reliance.</w:t>
            </w:r>
          </w:p>
        </w:tc>
      </w:tr>
      <w:tr>
        <w:tc>
          <w:tcPr>
            <w:tcW w:type="dxa" w:w="4320"/>
          </w:tcPr>
          <w:p>
            <w:r>
              <w:t>Data Owner</w:t>
            </w:r>
          </w:p>
        </w:tc>
        <w:tc>
          <w:tcPr>
            <w:tcW w:type="dxa" w:w="4320"/>
          </w:tcPr>
          <w:p>
            <w:r>
              <w:t>Confirms data lineage, data transformation, data quality dependencies, and financial relevance of data used in reporting.</w:t>
            </w:r>
          </w:p>
        </w:tc>
      </w:tr>
      <w:tr>
        <w:tc>
          <w:tcPr>
            <w:tcW w:type="dxa" w:w="4320"/>
          </w:tcPr>
          <w:p>
            <w:r>
              <w:t>Information Security</w:t>
            </w:r>
          </w:p>
        </w:tc>
        <w:tc>
          <w:tcPr>
            <w:tcW w:type="dxa" w:w="4320"/>
          </w:tcPr>
          <w:p>
            <w:r>
              <w:t>Provides input on identity services, privileged access, authentication mechanisms, security monitoring, and access risk for in-scope environments.</w:t>
            </w:r>
          </w:p>
        </w:tc>
      </w:tr>
      <w:tr>
        <w:tc>
          <w:tcPr>
            <w:tcW w:type="dxa" w:w="4320"/>
          </w:tcPr>
          <w:p>
            <w:r>
              <w:t>Infrastructure / Cloud Operations</w:t>
            </w:r>
          </w:p>
        </w:tc>
        <w:tc>
          <w:tcPr>
            <w:tcW w:type="dxa" w:w="4320"/>
          </w:tcPr>
          <w:p>
            <w:r>
              <w:t>Identifies servers, databases, networks, storage, cloud services, backups, job processing, monitoring, and recovery dependencies supporting in-scope systems.</w:t>
            </w:r>
          </w:p>
        </w:tc>
      </w:tr>
      <w:tr>
        <w:tc>
          <w:tcPr>
            <w:tcW w:type="dxa" w:w="4320"/>
          </w:tcPr>
          <w:p>
            <w:r>
              <w:t>Application Development / DevOps</w:t>
            </w:r>
          </w:p>
        </w:tc>
        <w:tc>
          <w:tcPr>
            <w:tcW w:type="dxa" w:w="4320"/>
          </w:tcPr>
          <w:p>
            <w:r>
              <w:t>Identifies change management, release management, configuration, source code, deployment, and automated pipeline dependencies for in-scope systems.</w:t>
            </w:r>
          </w:p>
        </w:tc>
      </w:tr>
      <w:tr>
        <w:tc>
          <w:tcPr>
            <w:tcW w:type="dxa" w:w="4320"/>
          </w:tcPr>
          <w:p>
            <w:r>
              <w:t>Third-Party Risk Management / Procurement</w:t>
            </w:r>
          </w:p>
        </w:tc>
        <w:tc>
          <w:tcPr>
            <w:tcW w:type="dxa" w:w="4320"/>
          </w:tcPr>
          <w:p>
            <w:r>
              <w:t>Identifies service providers supporting financial reporting systems and obtains relevant third-party assurance documentation.</w:t>
            </w:r>
          </w:p>
        </w:tc>
      </w:tr>
      <w:tr>
        <w:tc>
          <w:tcPr>
            <w:tcW w:type="dxa" w:w="4320"/>
          </w:tcPr>
          <w:p>
            <w:r>
              <w:t>Internal Audit</w:t>
            </w:r>
          </w:p>
        </w:tc>
        <w:tc>
          <w:tcPr>
            <w:tcW w:type="dxa" w:w="4320"/>
          </w:tcPr>
          <w:p>
            <w:r>
              <w:t>Provides independent challenge, testing alignment, and advisory input on scoping completeness and documentation sufficiency.</w:t>
            </w:r>
          </w:p>
        </w:tc>
      </w:tr>
      <w:tr>
        <w:tc>
          <w:tcPr>
            <w:tcW w:type="dxa" w:w="4320"/>
          </w:tcPr>
          <w:p>
            <w:r>
              <w:t>External Audit Liaison</w:t>
            </w:r>
          </w:p>
        </w:tc>
        <w:tc>
          <w:tcPr>
            <w:tcW w:type="dxa" w:w="4320"/>
          </w:tcPr>
          <w:p>
            <w:r>
              <w:t>Coordinates responses to external audit inquiries and ensures management-approved scoping materials are available for audit review.</w:t>
            </w:r>
          </w:p>
        </w:tc>
      </w:tr>
      <w:tr>
        <w:tc>
          <w:tcPr>
            <w:tcW w:type="dxa" w:w="4320"/>
          </w:tcPr>
          <w:p>
            <w:r>
              <w:t>Business Control Owners</w:t>
            </w:r>
          </w:p>
        </w:tc>
        <w:tc>
          <w:tcPr>
            <w:tcW w:type="dxa" w:w="4320"/>
          </w:tcPr>
          <w:p>
            <w:r>
              <w:t>Confirm the use of systems, reports, and interfaces in financial reporting control execution and evidence.</w:t>
            </w:r>
          </w:p>
        </w:tc>
      </w:tr>
    </w:tbl>
    <w:p>
      <w:r>
        <w:t>Approval responsibility shall be assigned as follows:</w:t>
      </w:r>
    </w:p>
    <w:tbl>
      <w:tblPr>
        <w:tblStyle w:val="TableGrid"/>
        <w:tblW w:type="auto" w:w="0"/>
        <w:tblLook w:firstColumn="1" w:firstRow="1" w:lastColumn="0" w:lastRow="0" w:noHBand="0" w:noVBand="1" w:val="04A0"/>
      </w:tblPr>
      <w:tblGrid>
        <w:gridCol w:w="4320"/>
        <w:gridCol w:w="4320"/>
      </w:tblGrid>
      <w:tr>
        <w:tc>
          <w:tcPr>
            <w:tcW w:type="dxa" w:w="4320"/>
          </w:tcPr>
          <w:p>
            <w:r>
              <w:t>Approval Item</w:t>
            </w:r>
          </w:p>
        </w:tc>
        <w:tc>
          <w:tcPr>
            <w:tcW w:type="dxa" w:w="4320"/>
          </w:tcPr>
          <w:p>
            <w:r>
              <w:t>Required Approver</w:t>
            </w:r>
          </w:p>
        </w:tc>
      </w:tr>
      <w:tr>
        <w:tc>
          <w:tcPr>
            <w:tcW w:type="dxa" w:w="4320"/>
          </w:tcPr>
          <w:p>
            <w:r>
              <w:t>Annual ITGC Scoping Memo</w:t>
            </w:r>
          </w:p>
        </w:tc>
        <w:tc>
          <w:tcPr>
            <w:tcW w:type="dxa" w:w="4320"/>
          </w:tcPr>
          <w:p>
            <w:r>
              <w:t>Chief Financial Officer or delegate, Chief Information Officer or delegate, SOX Compliance Owner</w:t>
            </w:r>
          </w:p>
        </w:tc>
      </w:tr>
      <w:tr>
        <w:tc>
          <w:tcPr>
            <w:tcW w:type="dxa" w:w="4320"/>
          </w:tcPr>
          <w:p>
            <w:r>
              <w:t>Inclusion or exclusion of financially relevant systems</w:t>
            </w:r>
          </w:p>
        </w:tc>
        <w:tc>
          <w:tcPr>
            <w:tcW w:type="dxa" w:w="4320"/>
          </w:tcPr>
          <w:p>
            <w:r>
              <w:t>SOX Compliance Owner, Finance Process Owner, IT Control Owner</w:t>
            </w:r>
          </w:p>
        </w:tc>
      </w:tr>
      <w:tr>
        <w:tc>
          <w:tcPr>
            <w:tcW w:type="dxa" w:w="4320"/>
          </w:tcPr>
          <w:p>
            <w:r>
              <w:t>Removal of a system from scope</w:t>
            </w:r>
          </w:p>
        </w:tc>
        <w:tc>
          <w:tcPr>
            <w:tcW w:type="dxa" w:w="4320"/>
          </w:tcPr>
          <w:p>
            <w:r>
              <w:t>SOX Compliance Owner, Finance Process Owner, System Owner, IT Control Owner</w:t>
            </w:r>
          </w:p>
        </w:tc>
      </w:tr>
      <w:tr>
        <w:tc>
          <w:tcPr>
            <w:tcW w:type="dxa" w:w="4320"/>
          </w:tcPr>
          <w:p>
            <w:r>
              <w:t>Addition of new in-scope system during the year</w:t>
            </w:r>
          </w:p>
        </w:tc>
        <w:tc>
          <w:tcPr>
            <w:tcW w:type="dxa" w:w="4320"/>
          </w:tcPr>
          <w:p>
            <w:r>
              <w:t>SOX Compliance Owner, System Owner, Finance Process Owner, IT Control Owner</w:t>
            </w:r>
          </w:p>
        </w:tc>
      </w:tr>
      <w:tr>
        <w:tc>
          <w:tcPr>
            <w:tcW w:type="dxa" w:w="4320"/>
          </w:tcPr>
          <w:p>
            <w:r>
              <w:t>Third-party service provider scope decision</w:t>
            </w:r>
          </w:p>
        </w:tc>
        <w:tc>
          <w:tcPr>
            <w:tcW w:type="dxa" w:w="4320"/>
          </w:tcPr>
          <w:p>
            <w:r>
              <w:t>SOX Compliance Owner, Third-Party Risk Management, Finance Process Owner, IT Control Owner</w:t>
            </w:r>
          </w:p>
        </w:tc>
      </w:tr>
      <w:tr>
        <w:tc>
          <w:tcPr>
            <w:tcW w:type="dxa" w:w="4320"/>
          </w:tcPr>
          <w:p>
            <w:r>
              <w:t>Key report scope decision</w:t>
            </w:r>
          </w:p>
        </w:tc>
        <w:tc>
          <w:tcPr>
            <w:tcW w:type="dxa" w:w="4320"/>
          </w:tcPr>
          <w:p>
            <w:r>
              <w:t>SOX Compliance Owner, Report Owner, Finance Process Owner</w:t>
            </w:r>
          </w:p>
        </w:tc>
      </w:tr>
      <w:tr>
        <w:tc>
          <w:tcPr>
            <w:tcW w:type="dxa" w:w="4320"/>
          </w:tcPr>
          <w:p>
            <w:r>
              <w:t>Exception to this policy</w:t>
            </w:r>
          </w:p>
        </w:tc>
        <w:tc>
          <w:tcPr>
            <w:tcW w:type="dxa" w:w="4320"/>
          </w:tcPr>
          <w:p>
            <w:r>
              <w:t>SOX Compliance Owner, Chief Financial Officer or delegate, Chief Information Officer or delegate</w:t>
            </w:r>
          </w:p>
        </w:tc>
      </w:tr>
    </w:tbl>
    <w:p>
      <w:pPr>
        <w:pStyle w:val="Heading2"/>
      </w:pPr>
      <w:r>
        <w:t>Compliance, Monitoring &amp; Enforcement</w:t>
      </w:r>
    </w:p>
    <w:p>
      <w:r>
        <w:t>Compliance with this policy is mandatory for all personnel involved in financial reporting, IT operations, application ownership, system administration, change management, report ownership, and SOX control execution.</w:t>
      </w:r>
    </w:p>
    <w:p>
      <w:r>
        <w:t>The organisation shall monitor compliance through the following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Party</w:t>
            </w:r>
          </w:p>
        </w:tc>
        <w:tc>
          <w:tcPr>
            <w:tcW w:type="dxa" w:w="2160"/>
          </w:tcPr>
          <w:p>
            <w:r>
              <w:t>Evidence</w:t>
            </w:r>
          </w:p>
        </w:tc>
      </w:tr>
      <w:tr>
        <w:tc>
          <w:tcPr>
            <w:tcW w:type="dxa" w:w="2160"/>
          </w:tcPr>
          <w:p>
            <w:r>
              <w:t>Annual ITGC scope refresh</w:t>
            </w:r>
          </w:p>
        </w:tc>
        <w:tc>
          <w:tcPr>
            <w:tcW w:type="dxa" w:w="2160"/>
          </w:tcPr>
          <w:p>
            <w:r>
              <w:t>Annually before SOX testing begins</w:t>
            </w:r>
          </w:p>
        </w:tc>
        <w:tc>
          <w:tcPr>
            <w:tcW w:type="dxa" w:w="2160"/>
          </w:tcPr>
          <w:p>
            <w:r>
              <w:t>SOX Compliance Owner</w:t>
            </w:r>
          </w:p>
        </w:tc>
        <w:tc>
          <w:tcPr>
            <w:tcW w:type="dxa" w:w="2160"/>
          </w:tcPr>
          <w:p>
            <w:r>
              <w:t>Approved ITGC Scoping Memo</w:t>
            </w:r>
          </w:p>
        </w:tc>
      </w:tr>
      <w:tr>
        <w:tc>
          <w:tcPr>
            <w:tcW w:type="dxa" w:w="2160"/>
          </w:tcPr>
          <w:p>
            <w:r>
              <w:t>System inventory reconciliation</w:t>
            </w:r>
          </w:p>
        </w:tc>
        <w:tc>
          <w:tcPr>
            <w:tcW w:type="dxa" w:w="2160"/>
          </w:tcPr>
          <w:p>
            <w:r>
              <w:t>At least annually and upon material change</w:t>
            </w:r>
          </w:p>
        </w:tc>
        <w:tc>
          <w:tcPr>
            <w:tcW w:type="dxa" w:w="2160"/>
          </w:tcPr>
          <w:p>
            <w:r>
              <w:t>IT Governance / System Owners</w:t>
            </w:r>
          </w:p>
        </w:tc>
        <w:tc>
          <w:tcPr>
            <w:tcW w:type="dxa" w:w="2160"/>
          </w:tcPr>
          <w:p>
            <w:r>
              <w:t>Reconciled system inventory</w:t>
            </w:r>
          </w:p>
        </w:tc>
      </w:tr>
      <w:tr>
        <w:tc>
          <w:tcPr>
            <w:tcW w:type="dxa" w:w="2160"/>
          </w:tcPr>
          <w:p>
            <w:r>
              <w:t>Financial process and system mapping review</w:t>
            </w:r>
          </w:p>
        </w:tc>
        <w:tc>
          <w:tcPr>
            <w:tcW w:type="dxa" w:w="2160"/>
          </w:tcPr>
          <w:p>
            <w:r>
              <w:t>At least annually</w:t>
            </w:r>
          </w:p>
        </w:tc>
        <w:tc>
          <w:tcPr>
            <w:tcW w:type="dxa" w:w="2160"/>
          </w:tcPr>
          <w:p>
            <w:r>
              <w:t>Finance Process Owners / SOX Compliance Owner</w:t>
            </w:r>
          </w:p>
        </w:tc>
        <w:tc>
          <w:tcPr>
            <w:tcW w:type="dxa" w:w="2160"/>
          </w:tcPr>
          <w:p>
            <w:r>
              <w:t>Process-to-system mapping</w:t>
            </w:r>
          </w:p>
        </w:tc>
      </w:tr>
      <w:tr>
        <w:tc>
          <w:tcPr>
            <w:tcW w:type="dxa" w:w="2160"/>
          </w:tcPr>
          <w:p>
            <w:r>
              <w:t>Key report inventory review</w:t>
            </w:r>
          </w:p>
        </w:tc>
        <w:tc>
          <w:tcPr>
            <w:tcW w:type="dxa" w:w="2160"/>
          </w:tcPr>
          <w:p>
            <w:r>
              <w:t>At least annually and upon new report reliance</w:t>
            </w:r>
          </w:p>
        </w:tc>
        <w:tc>
          <w:tcPr>
            <w:tcW w:type="dxa" w:w="2160"/>
          </w:tcPr>
          <w:p>
            <w:r>
              <w:t>Report Owners / Finance Process Owners</w:t>
            </w:r>
          </w:p>
        </w:tc>
        <w:tc>
          <w:tcPr>
            <w:tcW w:type="dxa" w:w="2160"/>
          </w:tcPr>
          <w:p>
            <w:r>
              <w:t>Approved key report inventory</w:t>
            </w:r>
          </w:p>
        </w:tc>
      </w:tr>
      <w:tr>
        <w:tc>
          <w:tcPr>
            <w:tcW w:type="dxa" w:w="2160"/>
          </w:tcPr>
          <w:p>
            <w:r>
              <w:t>Interface inventory review</w:t>
            </w:r>
          </w:p>
        </w:tc>
        <w:tc>
          <w:tcPr>
            <w:tcW w:type="dxa" w:w="2160"/>
          </w:tcPr>
          <w:p>
            <w:r>
              <w:t>At least annually</w:t>
            </w:r>
          </w:p>
        </w:tc>
        <w:tc>
          <w:tcPr>
            <w:tcW w:type="dxa" w:w="2160"/>
          </w:tcPr>
          <w:p>
            <w:r>
              <w:t>System Owners / IT Control Owners</w:t>
            </w:r>
          </w:p>
        </w:tc>
        <w:tc>
          <w:tcPr>
            <w:tcW w:type="dxa" w:w="2160"/>
          </w:tcPr>
          <w:p>
            <w:r>
              <w:t>Interface inventory and data flow documentation</w:t>
            </w:r>
          </w:p>
        </w:tc>
      </w:tr>
      <w:tr>
        <w:tc>
          <w:tcPr>
            <w:tcW w:type="dxa" w:w="2160"/>
          </w:tcPr>
          <w:p>
            <w:r>
              <w:t>Third-party provider review</w:t>
            </w:r>
          </w:p>
        </w:tc>
        <w:tc>
          <w:tcPr>
            <w:tcW w:type="dxa" w:w="2160"/>
          </w:tcPr>
          <w:p>
            <w:r>
              <w:t>At least annually and upon onboarding</w:t>
            </w:r>
          </w:p>
        </w:tc>
        <w:tc>
          <w:tcPr>
            <w:tcW w:type="dxa" w:w="2160"/>
          </w:tcPr>
          <w:p>
            <w:r>
              <w:t>Third-Party Risk Management / SOX Compliance Owner</w:t>
            </w:r>
          </w:p>
        </w:tc>
        <w:tc>
          <w:tcPr>
            <w:tcW w:type="dxa" w:w="2160"/>
          </w:tcPr>
          <w:p>
            <w:r>
              <w:t>Assurance reports, bridge letters, user control mapping</w:t>
            </w:r>
          </w:p>
        </w:tc>
      </w:tr>
      <w:tr>
        <w:tc>
          <w:tcPr>
            <w:tcW w:type="dxa" w:w="2160"/>
          </w:tcPr>
          <w:p>
            <w:r>
              <w:t>Change impact assessment</w:t>
            </w:r>
          </w:p>
        </w:tc>
        <w:tc>
          <w:tcPr>
            <w:tcW w:type="dxa" w:w="2160"/>
          </w:tcPr>
          <w:p>
            <w:r>
              <w:t>Upon material system, process, or technology change</w:t>
            </w:r>
          </w:p>
        </w:tc>
        <w:tc>
          <w:tcPr>
            <w:tcW w:type="dxa" w:w="2160"/>
          </w:tcPr>
          <w:p>
            <w:r>
              <w:t>System Owner / SOX Compliance Owner</w:t>
            </w:r>
          </w:p>
        </w:tc>
        <w:tc>
          <w:tcPr>
            <w:tcW w:type="dxa" w:w="2160"/>
          </w:tcPr>
          <w:p>
            <w:r>
              <w:t>Change impact assessment and scope decision</w:t>
            </w:r>
          </w:p>
        </w:tc>
      </w:tr>
      <w:tr>
        <w:tc>
          <w:tcPr>
            <w:tcW w:type="dxa" w:w="2160"/>
          </w:tcPr>
          <w:p>
            <w:r>
              <w:t>Scope approval review</w:t>
            </w:r>
          </w:p>
        </w:tc>
        <w:tc>
          <w:tcPr>
            <w:tcW w:type="dxa" w:w="2160"/>
          </w:tcPr>
          <w:p>
            <w:r>
              <w:t>Annually and upon major amendment</w:t>
            </w:r>
          </w:p>
        </w:tc>
        <w:tc>
          <w:tcPr>
            <w:tcW w:type="dxa" w:w="2160"/>
          </w:tcPr>
          <w:p>
            <w:r>
              <w:t>CFO delegate, CIO delegate, SOX Compliance Owner</w:t>
            </w:r>
          </w:p>
        </w:tc>
        <w:tc>
          <w:tcPr>
            <w:tcW w:type="dxa" w:w="2160"/>
          </w:tcPr>
          <w:p>
            <w:r>
              <w:t>Approval record</w:t>
            </w:r>
          </w:p>
        </w:tc>
      </w:tr>
      <w:tr>
        <w:tc>
          <w:tcPr>
            <w:tcW w:type="dxa" w:w="2160"/>
          </w:tcPr>
          <w:p>
            <w:r>
              <w:t>Evidence retention check</w:t>
            </w:r>
          </w:p>
        </w:tc>
        <w:tc>
          <w:tcPr>
            <w:tcW w:type="dxa" w:w="2160"/>
          </w:tcPr>
          <w:p>
            <w:r>
              <w:t>At least annually</w:t>
            </w:r>
          </w:p>
        </w:tc>
        <w:tc>
          <w:tcPr>
            <w:tcW w:type="dxa" w:w="2160"/>
          </w:tcPr>
          <w:p>
            <w:r>
              <w:t>SOX Compliance Owner</w:t>
            </w:r>
          </w:p>
        </w:tc>
        <w:tc>
          <w:tcPr>
            <w:tcW w:type="dxa" w:w="2160"/>
          </w:tcPr>
          <w:p>
            <w:r>
              <w:t>Repository evidence listing</w:t>
            </w:r>
          </w:p>
        </w:tc>
      </w:tr>
    </w:tbl>
    <w:p>
      <w:r>
        <w:t>Non-compliance with this policy may result in:</w:t>
      </w:r>
    </w:p>
    <w:p>
      <w:pPr>
        <w:pStyle w:val="ListBullet"/>
      </w:pPr>
      <w:r>
        <w:t>Reassessment of SOX ITGC scope.</w:t>
      </w:r>
    </w:p>
    <w:p>
      <w:pPr>
        <w:pStyle w:val="ListBullet"/>
      </w:pPr>
      <w:r>
        <w:t>Additional management review or control testing.</w:t>
      </w:r>
    </w:p>
    <w:p>
      <w:pPr>
        <w:pStyle w:val="ListBullet"/>
      </w:pPr>
      <w:r>
        <w:t>Control deficiency evaluation.</w:t>
      </w:r>
    </w:p>
    <w:p>
      <w:pPr>
        <w:pStyle w:val="ListBullet"/>
      </w:pPr>
      <w:r>
        <w:t>Remediation plan requirements.</w:t>
      </w:r>
    </w:p>
    <w:p>
      <w:pPr>
        <w:pStyle w:val="ListBullet"/>
      </w:pPr>
      <w:r>
        <w:t>Escalation to Finance, IT, Internal Audit, Legal, or executive leadership.</w:t>
      </w:r>
    </w:p>
    <w:p>
      <w:pPr>
        <w:pStyle w:val="ListBullet"/>
      </w:pPr>
      <w:r>
        <w:t>Restriction on reliance upon a system, report, or tool for financial reporting purposes until appropriate controls and documentation are established.</w:t>
      </w:r>
    </w:p>
    <w:p>
      <w:pPr>
        <w:pStyle w:val="ListBullet"/>
      </w:pPr>
      <w:r>
        <w:t>Disciplinary action in accordance with organisational policy where non-compliance is deliberate, repeated, or negligent.</w:t>
      </w:r>
    </w:p>
    <w:p>
      <w:r>
        <w:t>The following events shall be escalated to the SOX Compliance Owner within five business days of identification:</w:t>
      </w:r>
    </w:p>
    <w:tbl>
      <w:tblPr>
        <w:tblStyle w:val="TableGrid"/>
        <w:tblW w:type="auto" w:w="0"/>
        <w:tblLook w:firstColumn="1" w:firstRow="1" w:lastColumn="0" w:lastRow="0" w:noHBand="0" w:noVBand="1" w:val="04A0"/>
      </w:tblPr>
      <w:tblGrid>
        <w:gridCol w:w="4320"/>
        <w:gridCol w:w="4320"/>
      </w:tblGrid>
      <w:tr>
        <w:tc>
          <w:tcPr>
            <w:tcW w:type="dxa" w:w="4320"/>
          </w:tcPr>
          <w:p>
            <w:r>
              <w:t>Escalation Event</w:t>
            </w:r>
          </w:p>
        </w:tc>
        <w:tc>
          <w:tcPr>
            <w:tcW w:type="dxa" w:w="4320"/>
          </w:tcPr>
          <w:p>
            <w:r>
              <w:t>Required Escalation Detail</w:t>
            </w:r>
          </w:p>
        </w:tc>
      </w:tr>
      <w:tr>
        <w:tc>
          <w:tcPr>
            <w:tcW w:type="dxa" w:w="4320"/>
          </w:tcPr>
          <w:p>
            <w:r>
              <w:t>New system used for financial reporting</w:t>
            </w:r>
          </w:p>
        </w:tc>
        <w:tc>
          <w:tcPr>
            <w:tcW w:type="dxa" w:w="4320"/>
          </w:tcPr>
          <w:p>
            <w:r>
              <w:t>System name, owner, purpose, go-live date, affected controls</w:t>
            </w:r>
          </w:p>
        </w:tc>
      </w:tr>
      <w:tr>
        <w:tc>
          <w:tcPr>
            <w:tcW w:type="dxa" w:w="4320"/>
          </w:tcPr>
          <w:p>
            <w:r>
              <w:t>New key report relied upon for SOX controls</w:t>
            </w:r>
          </w:p>
        </w:tc>
        <w:tc>
          <w:tcPr>
            <w:tcW w:type="dxa" w:w="4320"/>
          </w:tcPr>
          <w:p>
            <w:r>
              <w:t>Report name, source system, owner, control usage</w:t>
            </w:r>
          </w:p>
        </w:tc>
      </w:tr>
      <w:tr>
        <w:tc>
          <w:tcPr>
            <w:tcW w:type="dxa" w:w="4320"/>
          </w:tcPr>
          <w:p>
            <w:r>
              <w:t>Material change to in-scope system</w:t>
            </w:r>
          </w:p>
        </w:tc>
        <w:tc>
          <w:tcPr>
            <w:tcW w:type="dxa" w:w="4320"/>
          </w:tcPr>
          <w:p>
            <w:r>
              <w:t>Nature of change, implementation date, affected controls and dependencies</w:t>
            </w:r>
          </w:p>
        </w:tc>
      </w:tr>
      <w:tr>
        <w:tc>
          <w:tcPr>
            <w:tcW w:type="dxa" w:w="4320"/>
          </w:tcPr>
          <w:p>
            <w:r>
              <w:t>New or changed interface</w:t>
            </w:r>
          </w:p>
        </w:tc>
        <w:tc>
          <w:tcPr>
            <w:tcW w:type="dxa" w:w="4320"/>
          </w:tcPr>
          <w:p>
            <w:r>
              <w:t>Source, destination, data type, timing, financial impact</w:t>
            </w:r>
          </w:p>
        </w:tc>
      </w:tr>
      <w:tr>
        <w:tc>
          <w:tcPr>
            <w:tcW w:type="dxa" w:w="4320"/>
          </w:tcPr>
          <w:p>
            <w:r>
              <w:t>Change in service provider</w:t>
            </w:r>
          </w:p>
        </w:tc>
        <w:tc>
          <w:tcPr>
            <w:tcW w:type="dxa" w:w="4320"/>
          </w:tcPr>
          <w:p>
            <w:r>
              <w:t>Provider name, service description, affected systems or processes</w:t>
            </w:r>
          </w:p>
        </w:tc>
      </w:tr>
      <w:tr>
        <w:tc>
          <w:tcPr>
            <w:tcW w:type="dxa" w:w="4320"/>
          </w:tcPr>
          <w:p>
            <w:r>
              <w:t>Unsupported or missing third-party assurance report</w:t>
            </w:r>
          </w:p>
        </w:tc>
        <w:tc>
          <w:tcPr>
            <w:tcW w:type="dxa" w:w="4320"/>
          </w:tcPr>
          <w:p>
            <w:r>
              <w:t>Provider, affected controls, compensating evidence</w:t>
            </w:r>
          </w:p>
        </w:tc>
      </w:tr>
      <w:tr>
        <w:tc>
          <w:tcPr>
            <w:tcW w:type="dxa" w:w="4320"/>
          </w:tcPr>
          <w:p>
            <w:r>
              <w:t>System retirement</w:t>
            </w:r>
          </w:p>
        </w:tc>
        <w:tc>
          <w:tcPr>
            <w:tcW w:type="dxa" w:w="4320"/>
          </w:tcPr>
          <w:p>
            <w:r>
              <w:t>Retirement date, replacement process, data retention impact</w:t>
            </w:r>
          </w:p>
        </w:tc>
      </w:tr>
      <w:tr>
        <w:tc>
          <w:tcPr>
            <w:tcW w:type="dxa" w:w="4320"/>
          </w:tcPr>
          <w:p>
            <w:r>
              <w:t>Control owner change</w:t>
            </w:r>
          </w:p>
        </w:tc>
        <w:tc>
          <w:tcPr>
            <w:tcW w:type="dxa" w:w="4320"/>
          </w:tcPr>
          <w:p>
            <w:r>
              <w:t>Former owner, new owner, affected controls</w:t>
            </w:r>
          </w:p>
        </w:tc>
      </w:tr>
      <w:tr>
        <w:tc>
          <w:tcPr>
            <w:tcW w:type="dxa" w:w="4320"/>
          </w:tcPr>
          <w:p>
            <w:r>
              <w:t>Unidentified reporting dependency</w:t>
            </w:r>
          </w:p>
        </w:tc>
        <w:tc>
          <w:tcPr>
            <w:tcW w:type="dxa" w:w="4320"/>
          </w:tcPr>
          <w:p>
            <w:r>
              <w:t>Description of dependency, source data, financial reporting use</w:t>
            </w:r>
          </w:p>
        </w:tc>
      </w:tr>
    </w:tbl>
    <w:p>
      <w:r>
        <w:t>Management shall evaluate identified scoping gaps to determine whether they indicate a control design issue, operating effectiveness issue, documentation deficiency, or broader governance concern.</w:t>
      </w:r>
    </w:p>
    <w:p>
      <w:pPr>
        <w:pStyle w:val="Heading2"/>
      </w:pPr>
      <w:r>
        <w:t>Exceptions</w:t>
      </w:r>
    </w:p>
    <w:p>
      <w:r>
        <w:t>Exceptions to this policy shall be permitted only where a documented business justification exists and the residual risk to financial reporting has been assessed and accepted by authorised management.</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Field</w:t>
            </w:r>
          </w:p>
        </w:tc>
        <w:tc>
          <w:tcPr>
            <w:tcW w:type="dxa" w:w="4320"/>
          </w:tcPr>
          <w:p>
            <w:r>
              <w:t>Description</w:t>
            </w:r>
          </w:p>
        </w:tc>
      </w:tr>
      <w:tr>
        <w:tc>
          <w:tcPr>
            <w:tcW w:type="dxa" w:w="4320"/>
          </w:tcPr>
          <w:p>
            <w:r>
              <w:t>Exception requester</w:t>
            </w:r>
          </w:p>
        </w:tc>
        <w:tc>
          <w:tcPr>
            <w:tcW w:type="dxa" w:w="4320"/>
          </w:tcPr>
          <w:p>
            <w:r>
              <w:t>Name and role of person requesting the exception</w:t>
            </w:r>
          </w:p>
        </w:tc>
      </w:tr>
      <w:tr>
        <w:tc>
          <w:tcPr>
            <w:tcW w:type="dxa" w:w="4320"/>
          </w:tcPr>
          <w:p>
            <w:r>
              <w:t>Date requested</w:t>
            </w:r>
          </w:p>
        </w:tc>
        <w:tc>
          <w:tcPr>
            <w:tcW w:type="dxa" w:w="4320"/>
          </w:tcPr>
          <w:p>
            <w:r>
              <w:t>Date the exception was submitted</w:t>
            </w:r>
          </w:p>
        </w:tc>
      </w:tr>
      <w:tr>
        <w:tc>
          <w:tcPr>
            <w:tcW w:type="dxa" w:w="4320"/>
          </w:tcPr>
          <w:p>
            <w:r>
              <w:t>Policy requirement affected</w:t>
            </w:r>
          </w:p>
        </w:tc>
        <w:tc>
          <w:tcPr>
            <w:tcW w:type="dxa" w:w="4320"/>
          </w:tcPr>
          <w:p>
            <w:r>
              <w:t>Specific policy statement or requirement affected</w:t>
            </w:r>
          </w:p>
        </w:tc>
      </w:tr>
      <w:tr>
        <w:tc>
          <w:tcPr>
            <w:tcW w:type="dxa" w:w="4320"/>
          </w:tcPr>
          <w:p>
            <w:r>
              <w:t>System, report, interface, or provider</w:t>
            </w:r>
          </w:p>
        </w:tc>
        <w:tc>
          <w:tcPr>
            <w:tcW w:type="dxa" w:w="4320"/>
          </w:tcPr>
          <w:p>
            <w:r>
              <w:t>Item affected by the exception</w:t>
            </w:r>
          </w:p>
        </w:tc>
      </w:tr>
      <w:tr>
        <w:tc>
          <w:tcPr>
            <w:tcW w:type="dxa" w:w="4320"/>
          </w:tcPr>
          <w:p>
            <w:r>
              <w:t>Business justification</w:t>
            </w:r>
          </w:p>
        </w:tc>
        <w:tc>
          <w:tcPr>
            <w:tcW w:type="dxa" w:w="4320"/>
          </w:tcPr>
          <w:p>
            <w:r>
              <w:t>Reason the requirement cannot be met</w:t>
            </w:r>
          </w:p>
        </w:tc>
      </w:tr>
      <w:tr>
        <w:tc>
          <w:tcPr>
            <w:tcW w:type="dxa" w:w="4320"/>
          </w:tcPr>
          <w:p>
            <w:r>
              <w:t>Financial reporting impact</w:t>
            </w:r>
          </w:p>
        </w:tc>
        <w:tc>
          <w:tcPr>
            <w:tcW w:type="dxa" w:w="4320"/>
          </w:tcPr>
          <w:p>
            <w:r>
              <w:t>Description of potential impact on financial reporting reliability</w:t>
            </w:r>
          </w:p>
        </w:tc>
      </w:tr>
      <w:tr>
        <w:tc>
          <w:tcPr>
            <w:tcW w:type="dxa" w:w="4320"/>
          </w:tcPr>
          <w:p>
            <w:r>
              <w:t>Risk assessment</w:t>
            </w:r>
          </w:p>
        </w:tc>
        <w:tc>
          <w:tcPr>
            <w:tcW w:type="dxa" w:w="4320"/>
          </w:tcPr>
          <w:p>
            <w:r>
              <w:t>Evaluation of likelihood and impact</w:t>
            </w:r>
          </w:p>
        </w:tc>
      </w:tr>
      <w:tr>
        <w:tc>
          <w:tcPr>
            <w:tcW w:type="dxa" w:w="4320"/>
          </w:tcPr>
          <w:p>
            <w:r>
              <w:t>Compensating controls</w:t>
            </w:r>
          </w:p>
        </w:tc>
        <w:tc>
          <w:tcPr>
            <w:tcW w:type="dxa" w:w="4320"/>
          </w:tcPr>
          <w:p>
            <w:r>
              <w:t>Controls that reduce the risk during the exception period</w:t>
            </w:r>
          </w:p>
        </w:tc>
      </w:tr>
      <w:tr>
        <w:tc>
          <w:tcPr>
            <w:tcW w:type="dxa" w:w="4320"/>
          </w:tcPr>
          <w:p>
            <w:r>
              <w:t>Duration requested</w:t>
            </w:r>
          </w:p>
        </w:tc>
        <w:tc>
          <w:tcPr>
            <w:tcW w:type="dxa" w:w="4320"/>
          </w:tcPr>
          <w:p>
            <w:r>
              <w:t>Start date and end date</w:t>
            </w:r>
          </w:p>
        </w:tc>
      </w:tr>
      <w:tr>
        <w:tc>
          <w:tcPr>
            <w:tcW w:type="dxa" w:w="4320"/>
          </w:tcPr>
          <w:p>
            <w:r>
              <w:t>Remediation plan</w:t>
            </w:r>
          </w:p>
        </w:tc>
        <w:tc>
          <w:tcPr>
            <w:tcW w:type="dxa" w:w="4320"/>
          </w:tcPr>
          <w:p>
            <w:r>
              <w:t>Actions required to return to compliance</w:t>
            </w:r>
          </w:p>
        </w:tc>
      </w:tr>
      <w:tr>
        <w:tc>
          <w:tcPr>
            <w:tcW w:type="dxa" w:w="4320"/>
          </w:tcPr>
          <w:p>
            <w:r>
              <w:t>Responsible owner</w:t>
            </w:r>
          </w:p>
        </w:tc>
        <w:tc>
          <w:tcPr>
            <w:tcW w:type="dxa" w:w="4320"/>
          </w:tcPr>
          <w:p>
            <w:r>
              <w:t>Person accountable for remediation</w:t>
            </w:r>
          </w:p>
        </w:tc>
      </w:tr>
      <w:tr>
        <w:tc>
          <w:tcPr>
            <w:tcW w:type="dxa" w:w="4320"/>
          </w:tcPr>
          <w:p>
            <w:r>
              <w:t>Required approvals</w:t>
            </w:r>
          </w:p>
        </w:tc>
        <w:tc>
          <w:tcPr>
            <w:tcW w:type="dxa" w:w="4320"/>
          </w:tcPr>
          <w:p>
            <w:r>
              <w:t>Authorised approvers and approval dates</w:t>
            </w:r>
          </w:p>
        </w:tc>
      </w:tr>
    </w:tbl>
    <w:p>
      <w:r>
        <w:t>Exceptions shall not be open-ended. Each exception shall have an expiry date, an accountable owner, and documented compensating controls where applicable.</w:t>
      </w:r>
    </w:p>
    <w:p>
      <w:r>
        <w:t>Exceptions affecting financial reporting reliability, key reports, privileged access, change management, system operations, or third-party assurance shall be reviewed by the SOX Compliance Owner and approved by Finance and IT leadership.</w:t>
      </w:r>
    </w:p>
    <w:p>
      <w:r>
        <w:t>Expired exceptions shall be treated as non-compliance unless formally renewed and reapproved before expiry.</w:t>
      </w:r>
    </w:p>
    <w:p>
      <w:r>
        <w:t>The SOX Compliance Owner shall maintain an exception register and review open exceptions at least quarterly.</w:t>
      </w:r>
    </w:p>
    <w:tbl>
      <w:tblPr>
        <w:tblStyle w:val="TableGrid"/>
        <w:tblW w:type="auto" w:w="0"/>
        <w:tblLook w:firstColumn="1" w:firstRow="1" w:lastColumn="0" w:lastRow="0" w:noHBand="0" w:noVBand="1" w:val="04A0"/>
      </w:tblPr>
      <w:tblGrid>
        <w:gridCol w:w="4320"/>
        <w:gridCol w:w="4320"/>
      </w:tblGrid>
      <w:tr>
        <w:tc>
          <w:tcPr>
            <w:tcW w:type="dxa" w:w="4320"/>
          </w:tcPr>
          <w:p>
            <w:r>
              <w:t>Exception Status</w:t>
            </w:r>
          </w:p>
        </w:tc>
        <w:tc>
          <w:tcPr>
            <w:tcW w:type="dxa" w:w="4320"/>
          </w:tcPr>
          <w:p>
            <w:r>
              <w:t>Required Action</w:t>
            </w:r>
          </w:p>
        </w:tc>
      </w:tr>
      <w:tr>
        <w:tc>
          <w:tcPr>
            <w:tcW w:type="dxa" w:w="4320"/>
          </w:tcPr>
          <w:p>
            <w:r>
              <w:t>Submitted</w:t>
            </w:r>
          </w:p>
        </w:tc>
        <w:tc>
          <w:tcPr>
            <w:tcW w:type="dxa" w:w="4320"/>
          </w:tcPr>
          <w:p>
            <w:r>
              <w:t>Review for completeness and assign reviewer</w:t>
            </w:r>
          </w:p>
        </w:tc>
      </w:tr>
      <w:tr>
        <w:tc>
          <w:tcPr>
            <w:tcW w:type="dxa" w:w="4320"/>
          </w:tcPr>
          <w:p>
            <w:r>
              <w:t>Under review</w:t>
            </w:r>
          </w:p>
        </w:tc>
        <w:tc>
          <w:tcPr>
            <w:tcW w:type="dxa" w:w="4320"/>
          </w:tcPr>
          <w:p>
            <w:r>
              <w:t>Assess risk, compensating controls, and remediation plan</w:t>
            </w:r>
          </w:p>
        </w:tc>
      </w:tr>
      <w:tr>
        <w:tc>
          <w:tcPr>
            <w:tcW w:type="dxa" w:w="4320"/>
          </w:tcPr>
          <w:p>
            <w:r>
              <w:t>Approved</w:t>
            </w:r>
          </w:p>
        </w:tc>
        <w:tc>
          <w:tcPr>
            <w:tcW w:type="dxa" w:w="4320"/>
          </w:tcPr>
          <w:p>
            <w:r>
              <w:t>Track expiry date and remediation progress</w:t>
            </w:r>
          </w:p>
        </w:tc>
      </w:tr>
      <w:tr>
        <w:tc>
          <w:tcPr>
            <w:tcW w:type="dxa" w:w="4320"/>
          </w:tcPr>
          <w:p>
            <w:r>
              <w:t>Rejected</w:t>
            </w:r>
          </w:p>
        </w:tc>
        <w:tc>
          <w:tcPr>
            <w:tcW w:type="dxa" w:w="4320"/>
          </w:tcPr>
          <w:p>
            <w:r>
              <w:t>Communicate decision and required compliance action</w:t>
            </w:r>
          </w:p>
        </w:tc>
      </w:tr>
      <w:tr>
        <w:tc>
          <w:tcPr>
            <w:tcW w:type="dxa" w:w="4320"/>
          </w:tcPr>
          <w:p>
            <w:r>
              <w:t>Expired</w:t>
            </w:r>
          </w:p>
        </w:tc>
        <w:tc>
          <w:tcPr>
            <w:tcW w:type="dxa" w:w="4320"/>
          </w:tcPr>
          <w:p>
            <w:r>
              <w:t>Escalate as non-compliance</w:t>
            </w:r>
          </w:p>
        </w:tc>
      </w:tr>
      <w:tr>
        <w:tc>
          <w:tcPr>
            <w:tcW w:type="dxa" w:w="4320"/>
          </w:tcPr>
          <w:p>
            <w:r>
              <w:t>Closed</w:t>
            </w:r>
          </w:p>
        </w:tc>
        <w:tc>
          <w:tcPr>
            <w:tcW w:type="dxa" w:w="4320"/>
          </w:tcPr>
          <w:p>
            <w:r>
              <w:t>Retain evidence of remediation and approval closure</w:t>
            </w:r>
          </w:p>
        </w:tc>
      </w:tr>
    </w:tbl>
    <w:p>
      <w:pPr>
        <w:pStyle w:val="Heading2"/>
      </w:pPr>
      <w:r>
        <w:t>Review &amp; Maintenance</w:t>
      </w:r>
    </w:p>
    <w:p>
      <w:r>
        <w:t>This policy shall be reviewed at least annually and updated when there are material changes to financial reporting processes, technology architecture, systems, outsourcing arrangements, control strategy, organisational structure, or SOX compliance methodology.</w:t>
      </w:r>
    </w:p>
    <w:p>
      <w:r>
        <w:t>The SOX Compliance Owner shall coordinate the policy review with Finance, IT, Internal Audit, Information Security, Third-Party Risk Management, and other relevant stakeholders.</w:t>
      </w:r>
    </w:p>
    <w:p>
      <w:r>
        <w:t>The annual review shall confirm that:</w:t>
      </w:r>
    </w:p>
    <w:p>
      <w:pPr>
        <w:pStyle w:val="ListBullet"/>
      </w:pPr>
      <w:r>
        <w:t>The policy remains aligned to the organisation’s SOX ITGC approach.</w:t>
      </w:r>
    </w:p>
    <w:p>
      <w:pPr>
        <w:pStyle w:val="ListBullet"/>
      </w:pPr>
      <w:r>
        <w:t>Scoping requirements reflect current financial reporting processes and technology dependencies.</w:t>
      </w:r>
    </w:p>
    <w:p>
      <w:pPr>
        <w:pStyle w:val="ListBullet"/>
      </w:pPr>
      <w:r>
        <w:t>Roles and responsibilities remain accurate.</w:t>
      </w:r>
    </w:p>
    <w:p>
      <w:pPr>
        <w:pStyle w:val="ListBullet"/>
      </w:pPr>
      <w:r>
        <w:t>Required scoping attributes remain sufficient for management and audit purposes.</w:t>
      </w:r>
    </w:p>
    <w:p>
      <w:pPr>
        <w:pStyle w:val="ListBullet"/>
      </w:pPr>
      <w:r>
        <w:t>Monitoring and escalation requirements remain effective.</w:t>
      </w:r>
    </w:p>
    <w:p>
      <w:pPr>
        <w:pStyle w:val="ListBullet"/>
      </w:pPr>
      <w:r>
        <w:t>Exception and approval requirements remain appropriate.</w:t>
      </w:r>
    </w:p>
    <w:p>
      <w:pPr>
        <w:pStyle w:val="ListBullet"/>
      </w:pPr>
      <w:r>
        <w:t>Related inventories and evidence repositories remain current.</w:t>
      </w:r>
    </w:p>
    <w:p>
      <w:r>
        <w:t>Policy updates shall be version-controlled and approved before publication.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Maintenance Activity</w:t>
            </w:r>
          </w:p>
        </w:tc>
        <w:tc>
          <w:tcPr>
            <w:tcW w:type="dxa" w:w="2880"/>
          </w:tcPr>
          <w:p>
            <w:r>
              <w:t>Frequency</w:t>
            </w:r>
          </w:p>
        </w:tc>
        <w:tc>
          <w:tcPr>
            <w:tcW w:type="dxa" w:w="2880"/>
          </w:tcPr>
          <w:p>
            <w:r>
              <w:t>Owner</w:t>
            </w:r>
          </w:p>
        </w:tc>
      </w:tr>
      <w:tr>
        <w:tc>
          <w:tcPr>
            <w:tcW w:type="dxa" w:w="2880"/>
          </w:tcPr>
          <w:p>
            <w:r>
              <w:t>Formal policy review</w:t>
            </w:r>
          </w:p>
        </w:tc>
        <w:tc>
          <w:tcPr>
            <w:tcW w:type="dxa" w:w="2880"/>
          </w:tcPr>
          <w:p>
            <w:r>
              <w:t>Annually</w:t>
            </w:r>
          </w:p>
        </w:tc>
        <w:tc>
          <w:tcPr>
            <w:tcW w:type="dxa" w:w="2880"/>
          </w:tcPr>
          <w:p>
            <w:r>
              <w:t>SOX Compliance Owner</w:t>
            </w:r>
          </w:p>
        </w:tc>
      </w:tr>
      <w:tr>
        <w:tc>
          <w:tcPr>
            <w:tcW w:type="dxa" w:w="2880"/>
          </w:tcPr>
          <w:p>
            <w:r>
              <w:t>Review following major system implementation</w:t>
            </w:r>
          </w:p>
        </w:tc>
        <w:tc>
          <w:tcPr>
            <w:tcW w:type="dxa" w:w="2880"/>
          </w:tcPr>
          <w:p>
            <w:r>
              <w:t>As needed</w:t>
            </w:r>
          </w:p>
        </w:tc>
        <w:tc>
          <w:tcPr>
            <w:tcW w:type="dxa" w:w="2880"/>
          </w:tcPr>
          <w:p>
            <w:r>
              <w:t>SOX Compliance Owner / System Owner</w:t>
            </w:r>
          </w:p>
        </w:tc>
      </w:tr>
      <w:tr>
        <w:tc>
          <w:tcPr>
            <w:tcW w:type="dxa" w:w="2880"/>
          </w:tcPr>
          <w:p>
            <w:r>
              <w:t>Review following acquisition or divestiture</w:t>
            </w:r>
          </w:p>
        </w:tc>
        <w:tc>
          <w:tcPr>
            <w:tcW w:type="dxa" w:w="2880"/>
          </w:tcPr>
          <w:p>
            <w:r>
              <w:t>As needed</w:t>
            </w:r>
          </w:p>
        </w:tc>
        <w:tc>
          <w:tcPr>
            <w:tcW w:type="dxa" w:w="2880"/>
          </w:tcPr>
          <w:p>
            <w:r>
              <w:t>SOX Compliance Owner / Finance Leadership</w:t>
            </w:r>
          </w:p>
        </w:tc>
      </w:tr>
      <w:tr>
        <w:tc>
          <w:tcPr>
            <w:tcW w:type="dxa" w:w="2880"/>
          </w:tcPr>
          <w:p>
            <w:r>
              <w:t>Review following major outsourcing or cloud migration</w:t>
            </w:r>
          </w:p>
        </w:tc>
        <w:tc>
          <w:tcPr>
            <w:tcW w:type="dxa" w:w="2880"/>
          </w:tcPr>
          <w:p>
            <w:r>
              <w:t>As needed</w:t>
            </w:r>
          </w:p>
        </w:tc>
        <w:tc>
          <w:tcPr>
            <w:tcW w:type="dxa" w:w="2880"/>
          </w:tcPr>
          <w:p>
            <w:r>
              <w:t>SOX Compliance Owner / IT Leadership</w:t>
            </w:r>
          </w:p>
        </w:tc>
      </w:tr>
      <w:tr>
        <w:tc>
          <w:tcPr>
            <w:tcW w:type="dxa" w:w="2880"/>
          </w:tcPr>
          <w:p>
            <w:r>
              <w:t>Update of scoping templates and inventories</w:t>
            </w:r>
          </w:p>
        </w:tc>
        <w:tc>
          <w:tcPr>
            <w:tcW w:type="dxa" w:w="2880"/>
          </w:tcPr>
          <w:p>
            <w:r>
              <w:t>At least annually</w:t>
            </w:r>
          </w:p>
        </w:tc>
        <w:tc>
          <w:tcPr>
            <w:tcW w:type="dxa" w:w="2880"/>
          </w:tcPr>
          <w:p>
            <w:r>
              <w:t>SOX Compliance Owner</w:t>
            </w:r>
          </w:p>
        </w:tc>
      </w:tr>
      <w:tr>
        <w:tc>
          <w:tcPr>
            <w:tcW w:type="dxa" w:w="2880"/>
          </w:tcPr>
          <w:p>
            <w:r>
              <w:t>Review of exception register</w:t>
            </w:r>
          </w:p>
        </w:tc>
        <w:tc>
          <w:tcPr>
            <w:tcW w:type="dxa" w:w="2880"/>
          </w:tcPr>
          <w:p>
            <w:r>
              <w:t>Quarterly</w:t>
            </w:r>
          </w:p>
        </w:tc>
        <w:tc>
          <w:tcPr>
            <w:tcW w:type="dxa" w:w="2880"/>
          </w:tcPr>
          <w:p>
            <w:r>
              <w:t>SOX Compliance Owner</w:t>
            </w:r>
          </w:p>
        </w:tc>
      </w:tr>
      <w:tr>
        <w:tc>
          <w:tcPr>
            <w:tcW w:type="dxa" w:w="2880"/>
          </w:tcPr>
          <w:p>
            <w:r>
              <w:t>Approval of policy changes</w:t>
            </w:r>
          </w:p>
        </w:tc>
        <w:tc>
          <w:tcPr>
            <w:tcW w:type="dxa" w:w="2880"/>
          </w:tcPr>
          <w:p>
            <w:r>
              <w:t>As needed</w:t>
            </w:r>
          </w:p>
        </w:tc>
        <w:tc>
          <w:tcPr>
            <w:tcW w:type="dxa" w:w="2880"/>
          </w:tcPr>
          <w:p>
            <w:r>
              <w:t>CFO delegate, CIO delegate, SOX Compliance Owner</w:t>
            </w:r>
          </w:p>
        </w:tc>
      </w:tr>
    </w:tbl>
    <w:p>
      <w:r>
        <w:t>The current approved version of this policy shall be stored in [Policy Repository / GRC Platform]. Superseded versions, approval records, change history, and supporting review evidence shall be retained in accordance with the organisation’s records retention requirements for SOX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