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Third-Party ICT Provider Strategy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[DORA-TPRM-POL-001]</w:t>
            </w:r>
          </w:p>
        </w:tc>
        <w:tc>
          <w:tcPr>
            <w:tcW w:type="dxa" w:w="1440"/>
          </w:tcPr>
          <w:p>
            <w:r>
              <w:t>1.0</w:t>
            </w:r>
          </w:p>
        </w:tc>
        <w:tc>
          <w:tcPr>
            <w:tcW w:type="dxa" w:w="1440"/>
          </w:tcPr>
          <w:p>
            <w:r>
              <w:t>[Chief Information Security Officer / Head of ICT Risk]</w:t>
            </w:r>
          </w:p>
        </w:tc>
        <w:tc>
          <w:tcPr>
            <w:tcW w:type="dxa" w:w="1440"/>
          </w:tcPr>
          <w:p>
            <w:r>
              <w:t>[Effective Date]</w:t>
            </w:r>
          </w:p>
        </w:tc>
        <w:tc>
          <w:tcPr>
            <w:tcW w:type="dxa" w:w="1440"/>
          </w:tcPr>
          <w:p>
            <w:r>
              <w:t>Digital Operational Resilience Act</w:t>
            </w:r>
          </w:p>
        </w:tc>
        <w:tc>
          <w:tcPr>
            <w:tcW w:type="dxa" w:w="1440"/>
          </w:tcPr>
          <w:p>
            <w:r>
              <w:t>Internal</w:t>
            </w:r>
          </w:p>
        </w:tc>
      </w:tr>
    </w:tbl>
    <w:p>
      <w:pPr>
        <w:pStyle w:val="Heading2"/>
      </w:pPr>
      <w:r>
        <w:t>Purpose</w:t>
      </w:r>
    </w:p>
    <w:p>
      <w:r>
        <w:t>This Policy defines the organisation’s strategy and mandatory requirements for managing risks arising from the use of ICT third-party service providers. It establishes a structured, risk-based approach to selecting, contracting, overseeing, and exiting ICT provider arrangements, including the use of a multi-vendor strategy where appropriate to reduce concentration risk and support operational resilience.</w:t>
      </w:r>
    </w:p>
    <w:p>
      <w:r>
        <w:t>The objective of this Policy is to ensure that ICT third-party services supporting the organisation are governed in a manner that protects confidentiality, integrity, availability, authenticity, and continuity of business services, and that the organisation remains able to manage disruption, provider failure, security incidents, contractual non-performance, and exit scenarios.</w:t>
      </w:r>
    </w:p>
    <w:p>
      <w:pPr>
        <w:pStyle w:val="Heading2"/>
      </w:pPr>
      <w:r>
        <w:t>Scope</w:t>
      </w:r>
    </w:p>
    <w:p>
      <w:r>
        <w:t>This Policy applies to:</w:t>
      </w:r>
    </w:p>
    <w:p>
      <w:pPr>
        <w:pStyle w:val="ListBullet"/>
      </w:pPr>
      <w:r>
        <w:t>All business units, functions, subsidiaries, branches, and legal entities within [Organisation Name] that procure, use, manage, or rely on ICT third-party services.</w:t>
      </w:r>
    </w:p>
    <w:p>
      <w:pPr>
        <w:pStyle w:val="ListBullet"/>
      </w:pPr>
      <w:r>
        <w:t>All ICT third-party providers, including cloud service providers, managed service providers, software-as-a-service providers, data centre providers, telecommunications providers, outsourcing providers, software vendors, hardware maintenance providers, and providers of ICT security services.</w:t>
      </w:r>
    </w:p>
    <w:p>
      <w:pPr>
        <w:pStyle w:val="ListBullet"/>
      </w:pPr>
      <w:r>
        <w:t>All ICT services that support business processes, financial services, customer services, operational resilience, regulatory reporting, transaction processing, data storage, data processing, cybersecurity, identity and access management, business continuity, or disaster recovery.</w:t>
      </w:r>
    </w:p>
    <w:p>
      <w:pPr>
        <w:pStyle w:val="ListBullet"/>
      </w:pPr>
      <w:r>
        <w:t>All lifecycle stages of ICT third-party arrangements, including strategy, procurement, due diligence, contracting, onboarding, monitoring, change management, renewal, termination, exit, and post-exit assurance.</w:t>
      </w:r>
    </w:p>
    <w:p>
      <w:pPr>
        <w:pStyle w:val="ListBullet"/>
      </w:pPr>
      <w:r>
        <w:t>Subcontracting chains where the ICT third-party provider uses other parties to deliver services to [Organisation Name].</w:t>
      </w:r>
    </w:p>
    <w:p>
      <w:r>
        <w:t>This Policy applies irrespective of whether the ICT service is delivered on-premises, hosted, cloud-based, hybrid, managed, outsourced, or embedded within a broader business service.</w:t>
      </w:r>
    </w:p>
    <w:p>
      <w:r>
        <w:t>This Policy does not replace procurement, legal, information security, business continuity, data protection, financial crime, or outsourcing requirements. Where multiple policies apply, the stricter requirement shall prevail unless formally approved through the exception process.</w:t>
      </w:r>
    </w:p>
    <w:p>
      <w:pPr>
        <w:pStyle w:val="Heading2"/>
      </w:pPr>
      <w:r>
        <w:t>Policy Statements</w:t>
      </w:r>
    </w:p>
    <w:p>
      <w:pPr>
        <w:pStyle w:val="ListBullet"/>
      </w:pPr>
      <w:r>
        <w:t>The organisation shall maintain an approved ICT third-party provider strategy that supports business objectives, digital resilience, risk appetite, and regulatory obligations.</w:t>
      </w:r>
    </w:p>
    <w:p>
      <w:pPr>
        <w:pStyle w:val="ListBullet"/>
      </w:pPr>
      <w:r>
        <w:t>The ICT third-party provider strategy shall be risk-based and shall distinguish between low-risk, material, critical, and important ICT services based on the potential impact of provider failure, service disruption, security compromise, data loss, legal non-compliance, or inability to exit.</w:t>
      </w:r>
    </w:p>
    <w:p>
      <w:pPr>
        <w:pStyle w:val="ListBullet"/>
      </w:pPr>
      <w:r>
        <w:t>The organisation shall identify and maintain an inventory of all ICT third-party service providers used across the organisation, including the business owner, service description, contract owner, risk rating, data types processed, locations of service delivery, subcontractor dependencies where known, and criticality assessment.</w:t>
      </w:r>
    </w:p>
    <w:p>
      <w:pPr>
        <w:pStyle w:val="ListBullet"/>
      </w:pPr>
      <w:r>
        <w:t>The organisation shall identify ICT services supporting critical or important business functions and ensure such services are subject to enhanced governance, due diligence, contractual protection, monitoring, testing, and exit planning.</w:t>
      </w:r>
    </w:p>
    <w:p>
      <w:pPr>
        <w:pStyle w:val="ListBullet"/>
      </w:pPr>
      <w:r>
        <w:t>The organisation shall avoid unmanaged dependency on a single ICT provider where such dependency could create unacceptable operational, financial, legal, security, or concentration risk.</w:t>
      </w:r>
    </w:p>
    <w:p>
      <w:pPr>
        <w:pStyle w:val="ListBullet"/>
      </w:pPr>
      <w:r>
        <w:t>The organisation shall implement a multi-vendor or alternative-provider strategy where appropriate for critical or important ICT services, taking into account service substitutability, technical feasibility, cost, interoperability, data portability, resilience benefits, and risk reduction.</w:t>
      </w:r>
    </w:p>
    <w:p>
      <w:pPr>
        <w:pStyle w:val="ListBullet"/>
      </w:pPr>
      <w:r>
        <w:t>The organisation shall document the rationale where a single-provider strategy is used for a critical or important ICT service, including compensating controls, exit options, resilience measures, contractual protections, and senior management approval.</w:t>
      </w:r>
    </w:p>
    <w:p>
      <w:pPr>
        <w:pStyle w:val="ListBullet"/>
      </w:pPr>
      <w:r>
        <w:t>The organisation shall assess concentration risk across ICT providers at least annually and whenever significant provider changes occur, including dependency on the same provider, provider group, technology stack, cloud platform, geographic region, subcontractor, data centre, managed service model, or proprietary technology.</w:t>
      </w:r>
    </w:p>
    <w:p>
      <w:pPr>
        <w:pStyle w:val="ListBullet"/>
      </w:pPr>
      <w:r>
        <w:t>The organisation shall assess whether multiple services rely on the same ICT provider or provider ecosystem in a manner that could create a single point of failure across business lines, legal entities, regions, or critical operations.</w:t>
      </w:r>
    </w:p>
    <w:p>
      <w:pPr>
        <w:pStyle w:val="ListBullet"/>
      </w:pPr>
      <w:r>
        <w:t>The organisation shall define risk appetite and tolerance thresholds for ICT third-party dependency, including acceptable levels of exposure to individual providers, service types, locations, subcontractors, and non-substitutable technologies.</w:t>
      </w:r>
    </w:p>
    <w:p>
      <w:pPr>
        <w:pStyle w:val="ListBullet"/>
      </w:pPr>
      <w:r>
        <w:t>The organisation shall perform due diligence before entering into or materially changing an ICT third-party arrangement, proportionate to the risk and criticality of the service.</w:t>
      </w:r>
    </w:p>
    <w:p>
      <w:pPr>
        <w:pStyle w:val="ListBullet"/>
      </w:pPr>
      <w:r>
        <w:t>Due diligence for ICT providers shall include, as applicable, financial stability, operational resilience, information security, data protection, business continuity, disaster recovery, incident response, service capacity, technical capability, compliance posture, subcontracting model, auditability, geographic risk, and exit feasibility.</w:t>
      </w:r>
    </w:p>
    <w:p>
      <w:pPr>
        <w:pStyle w:val="ListBullet"/>
      </w:pPr>
      <w:r>
        <w:t>The organisation shall not enter into a critical or important ICT arrangement until the associated risks have been assessed, documented, reviewed, and accepted by authorised decision-makers.</w:t>
      </w:r>
    </w:p>
    <w:p>
      <w:pPr>
        <w:pStyle w:val="ListBullet"/>
      </w:pPr>
      <w:r>
        <w:t>The organisation shall ensure that procurement decisions for ICT services are not based solely on cost, and shall include resilience, security, substitutability, contractual enforceability, concentration risk, and exit viability as decision criteria.</w:t>
      </w:r>
    </w:p>
    <w:p>
      <w:pPr>
        <w:pStyle w:val="ListBullet"/>
      </w:pPr>
      <w:r>
        <w:t>The organisation shall maintain clear ownership for each ICT third-party arrangement, including a business service owner, contract owner, risk owner, and technical service owner where applicable.</w:t>
      </w:r>
    </w:p>
    <w:p>
      <w:pPr>
        <w:pStyle w:val="ListBullet"/>
      </w:pPr>
      <w:r>
        <w:t>The organisation shall ensure that ICT third-party contracts include appropriate rights and obligations proportionate to the service risk, including service levels, security requirements, incident notification, audit rights, access rights, data protection obligations, subcontracting controls, reporting requirements, business continuity requirements, termination rights, exit support, and data return or deletion requirements.</w:t>
      </w:r>
    </w:p>
    <w:p>
      <w:pPr>
        <w:pStyle w:val="ListBullet"/>
      </w:pPr>
      <w:r>
        <w:t>The organisation shall ensure that contracts for critical or important ICT services include enforceable exit provisions, including cooperation requirements, transition assistance, data portability, documentation transfer, knowledge transfer, minimum support periods, and continued service obligations during transition where feasible.</w:t>
      </w:r>
    </w:p>
    <w:p>
      <w:pPr>
        <w:pStyle w:val="ListBullet"/>
      </w:pPr>
      <w:r>
        <w:t>The organisation shall ensure that ICT providers notify the organisation of material changes that may affect service delivery, security, resilience, compliance, subcontracting, location of service delivery, ownership, financial viability, or ability to meet contractual commitments.</w:t>
      </w:r>
    </w:p>
    <w:p>
      <w:pPr>
        <w:pStyle w:val="ListBullet"/>
      </w:pPr>
      <w:r>
        <w:t>The organisation shall require ICT providers to notify the organisation promptly of incidents that may affect the confidentiality, integrity, availability, authenticity, or continuity of the services or data provided to the organisation.</w:t>
      </w:r>
    </w:p>
    <w:p>
      <w:pPr>
        <w:pStyle w:val="ListBullet"/>
      </w:pPr>
      <w:r>
        <w:t>The organisation shall maintain a documented onboarding process for ICT providers that confirms completion of due diligence, risk acceptance, contract approval, access controls, data protection checks, service monitoring arrangements, business continuity expectations, and operational handover.</w:t>
      </w:r>
    </w:p>
    <w:p>
      <w:pPr>
        <w:pStyle w:val="ListBullet"/>
      </w:pPr>
      <w:r>
        <w:t>The organisation shall monitor ICT third-party providers throughout the life of the arrangement, with monitoring frequency and depth aligned to service criticality and risk.</w:t>
      </w:r>
    </w:p>
    <w:p>
      <w:pPr>
        <w:pStyle w:val="ListBullet"/>
      </w:pPr>
      <w:r>
        <w:t>Monitoring of critical or important ICT providers shall include service performance, security posture, incident history, control assurance, resilience testing results, business continuity capability, subcontractor changes, audit findings, remediation progress, and financial or operational warning indicators.</w:t>
      </w:r>
    </w:p>
    <w:p>
      <w:pPr>
        <w:pStyle w:val="ListBullet"/>
      </w:pPr>
      <w:r>
        <w:t>The organisation shall define and track key risk indicators and key performance indicators for ICT third-party services, including thresholds for escalation and management action.</w:t>
      </w:r>
    </w:p>
    <w:p>
      <w:pPr>
        <w:pStyle w:val="ListBullet"/>
      </w:pPr>
      <w:r>
        <w:t>The organisation shall require timely remediation of identified ICT provider risks, including formal action plans, accountable owners, target dates, and escalation where remediation is delayed or ineffective.</w:t>
      </w:r>
    </w:p>
    <w:p>
      <w:pPr>
        <w:pStyle w:val="ListBullet"/>
      </w:pPr>
      <w:r>
        <w:t>The organisation shall maintain an exit strategy for each critical or important ICT third-party arrangement, including the conditions that would trigger exit, potential replacement options, transition steps, required internal capabilities, data migration approach, customer or regulatory communication considerations, and residual risks.</w:t>
      </w:r>
    </w:p>
    <w:p>
      <w:pPr>
        <w:pStyle w:val="ListBullet"/>
      </w:pPr>
      <w:r>
        <w:t>The organisation shall periodically test or validate exit plans for critical or important ICT services to confirm that they are realistic, current, and executable within tolerable disruption limits.</w:t>
      </w:r>
    </w:p>
    <w:p>
      <w:pPr>
        <w:pStyle w:val="ListBullet"/>
      </w:pPr>
      <w:r>
        <w:t>The organisation shall consider substitutability before appointing or renewing a critical or important ICT provider, including the availability of alternative providers, use of open standards, portability of data, interoperability, licensing constraints, internal skills, and migration complexity.</w:t>
      </w:r>
    </w:p>
    <w:p>
      <w:pPr>
        <w:pStyle w:val="ListBullet"/>
      </w:pPr>
      <w:r>
        <w:t>The organisation shall avoid contractual, technical, operational, or data architecture decisions that create unnecessary lock-in unless the associated risks are documented, justified, and approved at the appropriate level.</w:t>
      </w:r>
    </w:p>
    <w:p>
      <w:pPr>
        <w:pStyle w:val="ListBullet"/>
      </w:pPr>
      <w:r>
        <w:t>The organisation shall maintain appropriate internal capabilities to oversee ICT third-party services, including sufficient knowledge of provider services, architecture, resilience arrangements, security controls, contractual obligations, and exit dependencies.</w:t>
      </w:r>
    </w:p>
    <w:p>
      <w:pPr>
        <w:pStyle w:val="ListBullet"/>
      </w:pPr>
      <w:r>
        <w:t>The organisation shall not outsource accountability for operational resilience, information security, risk management, or compliance to ICT third-party providers.</w:t>
      </w:r>
    </w:p>
    <w:p>
      <w:pPr>
        <w:pStyle w:val="ListBullet"/>
      </w:pPr>
      <w:r>
        <w:t>The organisation shall ensure that subcontracting by ICT providers is transparent and controlled, especially where subcontractors support critical or important services or access sensitive data, regulated data, production environments, or core infrastructure.</w:t>
      </w:r>
    </w:p>
    <w:p>
      <w:pPr>
        <w:pStyle w:val="ListBullet"/>
      </w:pPr>
      <w:r>
        <w:t>The organisation shall assess the risks of material subcontractors where those subcontractors could affect service availability, security, compliance, data protection, business continuity, or exit capability.</w:t>
      </w:r>
    </w:p>
    <w:p>
      <w:pPr>
        <w:pStyle w:val="ListBullet"/>
      </w:pPr>
      <w:r>
        <w:t>The organisation shall ensure that ICT third-party provider arrangements support effective incident management, including clear communication channels, escalation paths, reporting timelines, evidence preservation, root cause analysis, and post-incident remediation.</w:t>
      </w:r>
    </w:p>
    <w:p>
      <w:pPr>
        <w:pStyle w:val="ListBullet"/>
      </w:pPr>
      <w:r>
        <w:t>The organisation shall ensure that ICT providers supporting critical or important services participate in resilience, business continuity, disaster recovery, or crisis exercises where required by the organisation.</w:t>
      </w:r>
    </w:p>
    <w:p>
      <w:pPr>
        <w:pStyle w:val="ListBullet"/>
      </w:pPr>
      <w:r>
        <w:t>The organisation shall ensure that data handled by ICT providers is protected according to its classification, including requirements for encryption, segregation, access control, logging, retention, secure deletion, and geographic restrictions where applicable.</w:t>
      </w:r>
    </w:p>
    <w:p>
      <w:pPr>
        <w:pStyle w:val="ListBullet"/>
      </w:pPr>
      <w:r>
        <w:t>The organisation shall ensure that privileged access granted to ICT providers is authorised, monitored, time-bound where practical, and subject to strong authentication and least-privilege principles.</w:t>
      </w:r>
    </w:p>
    <w:p>
      <w:pPr>
        <w:pStyle w:val="ListBullet"/>
      </w:pPr>
      <w:r>
        <w:t>The organisation shall evaluate ICT third-party risk before renewals, major service changes, geographic changes, material subcontracting changes, mergers, acquisitions, or changes in provider ownership or control.</w:t>
      </w:r>
    </w:p>
    <w:p>
      <w:pPr>
        <w:pStyle w:val="ListBullet"/>
      </w:pPr>
      <w:r>
        <w:t>The organisation shall ensure that ICT third-party risk assessments are updated when significant incidents, audit findings, control failures, performance deterioration, or geopolitical events materially change the risk profile of a provider or service.</w:t>
      </w:r>
    </w:p>
    <w:p>
      <w:pPr>
        <w:pStyle w:val="ListBullet"/>
      </w:pPr>
      <w:r>
        <w:t>The organisation shall maintain records sufficient to evidence compliance with this Policy, including inventories, risk assessments, due diligence results, approvals, contracts, monitoring reports, issue logs, exit plans, test results, and management reporting.</w:t>
      </w:r>
    </w:p>
    <w:p>
      <w:pPr>
        <w:pStyle w:val="ListBullet"/>
      </w:pPr>
      <w:r>
        <w:t>The organisation shall report material ICT third-party risks, concentration risks, unresolved issues, and resilience concerns to senior management and relevant governance forums.</w:t>
      </w:r>
    </w:p>
    <w:p>
      <w:pPr>
        <w:pStyle w:val="ListBullet"/>
      </w:pPr>
      <w:r>
        <w:t>The organisation shall ensure that critical ICT third-party dependencies are considered in operational resilience planning, including impact tolerances, business continuity plans, crisis management plans, and disaster recovery arrangements.</w:t>
      </w:r>
    </w:p>
    <w:p>
      <w:pPr>
        <w:pStyle w:val="ListBullet"/>
      </w:pPr>
      <w:r>
        <w:t>The organisation shall ensure that ICT third-party provider strategy decisions are aligned with enterprise architecture, information security, procurement, legal, data protection, financial risk, and operational resilience requirements.</w:t>
      </w:r>
    </w:p>
    <w:p>
      <w:pPr>
        <w:pStyle w:val="ListBullet"/>
      </w:pPr>
      <w:r>
        <w:t>The organisation shall define minimum assurance requirements for ICT providers based on service criticality, including independent assurance reports, certifications, penetration testing summaries, resilience evidence, security attestations, or other suitable evidence.</w:t>
      </w:r>
    </w:p>
    <w:p>
      <w:pPr>
        <w:pStyle w:val="ListBullet"/>
      </w:pPr>
      <w:r>
        <w:t>The organisation shall not rely solely on provider self-attestation for critical or important services where independent assurance, contractual audit rights, or direct testing evidence is reasonably available and proportionate.</w:t>
      </w:r>
    </w:p>
    <w:p>
      <w:pPr>
        <w:pStyle w:val="ListBullet"/>
      </w:pPr>
      <w:r>
        <w:t>The organisation shall maintain a formal escalation process for ICT provider risk issues that may exceed tolerance levels, affect critical or important services, or require senior management decision-making.</w:t>
      </w:r>
    </w:p>
    <w:p>
      <w:pPr>
        <w:pStyle w:val="ListBullet"/>
      </w:pPr>
      <w:r>
        <w:t>The organisation shall ensure that termination of an ICT third-party arrangement is managed through a controlled process, including risk assessment, data return or deletion, access revocation, asset recovery, transition assurance, records retention, and closure confirmation.</w:t>
      </w:r>
    </w:p>
    <w:p>
      <w:pPr>
        <w:pStyle w:val="ListBullet"/>
      </w:pPr>
      <w:r>
        <w:t>The organisation shall review the ICT third-party provider strategy at least annually and whenever there is a material change in business strategy, ICT architecture, regulatory expectations, provider landscape, outsourcing model, or operational resilience requirements.</w:t>
      </w:r>
    </w:p>
    <w:p>
      <w:pPr>
        <w:pStyle w:val="ListBullet"/>
      </w:pPr>
      <w:r>
        <w:t>The organisation shall ensure that employees involved in procuring, approving, managing, or overseeing ICT third-party services understand their responsibilities under this Policy.</w:t>
      </w:r>
    </w:p>
    <w:p>
      <w:pPr>
        <w:pStyle w:val="ListBullet"/>
      </w:pPr>
      <w:r>
        <w:t>The organisation shall apply enhanced scrutiny to cloud, managed security, core platform, identity, network, data hosting, and business-critical SaaS providers due to their potential impact on resilience, data protection, access control, and concentration risk.</w:t>
      </w:r>
    </w:p>
    <w:p>
      <w:pPr>
        <w:pStyle w:val="ListBullet"/>
      </w:pPr>
      <w:r>
        <w:t>The organisation shall maintain documented governance for decisions to adopt, continue, expand, reduce, or terminate strategic ICT provider relationships, including documented risk analysis and approval evidence.</w:t>
      </w:r>
    </w:p>
    <w:p>
      <w:r>
        <w:t>The following minimum requirements apply by ICT provider criticality: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Provider / Service Category</w:t>
            </w:r>
          </w:p>
        </w:tc>
        <w:tc>
          <w:tcPr>
            <w:tcW w:type="dxa" w:w="1728"/>
          </w:tcPr>
          <w:p>
            <w:r>
              <w:t>Minimum Due Diligence</w:t>
            </w:r>
          </w:p>
        </w:tc>
        <w:tc>
          <w:tcPr>
            <w:tcW w:type="dxa" w:w="1728"/>
          </w:tcPr>
          <w:p>
            <w:r>
              <w:t>Minimum Contract Requirements</w:t>
            </w:r>
          </w:p>
        </w:tc>
        <w:tc>
          <w:tcPr>
            <w:tcW w:type="dxa" w:w="1728"/>
          </w:tcPr>
          <w:p>
            <w:r>
              <w:t>Monitoring Frequency</w:t>
            </w:r>
          </w:p>
        </w:tc>
        <w:tc>
          <w:tcPr>
            <w:tcW w:type="dxa" w:w="1728"/>
          </w:tcPr>
          <w:p>
            <w:r>
              <w:t>Exit Planning Requirement</w:t>
            </w:r>
          </w:p>
        </w:tc>
      </w:tr>
      <w:tr>
        <w:tc>
          <w:tcPr>
            <w:tcW w:type="dxa" w:w="1728"/>
          </w:tcPr>
          <w:p>
            <w:r>
              <w:t>Critical or important ICT service</w:t>
            </w:r>
          </w:p>
        </w:tc>
        <w:tc>
          <w:tcPr>
            <w:tcW w:type="dxa" w:w="1728"/>
          </w:tcPr>
          <w:p>
            <w:r>
              <w:t>Full risk assessment, security review, resilience review, financial and operational assessment, data protection review, subcontractor assessment, exit feasibility review</w:t>
            </w:r>
          </w:p>
        </w:tc>
        <w:tc>
          <w:tcPr>
            <w:tcW w:type="dxa" w:w="1728"/>
          </w:tcPr>
          <w:p>
            <w:r>
              <w:t>Full ICT risk and resilience clauses, service levels, audit and access rights, incident notification, subcontracting controls, business continuity obligations, termination rights, exit support, data return/deletion</w:t>
            </w:r>
          </w:p>
        </w:tc>
        <w:tc>
          <w:tcPr>
            <w:tcW w:type="dxa" w:w="1728"/>
          </w:tcPr>
          <w:p>
            <w:r>
              <w:t>At least quarterly, with annual formal review</w:t>
            </w:r>
          </w:p>
        </w:tc>
        <w:tc>
          <w:tcPr>
            <w:tcW w:type="dxa" w:w="1728"/>
          </w:tcPr>
          <w:p>
            <w:r>
              <w:t>Detailed exit plan required and periodically validated</w:t>
            </w:r>
          </w:p>
        </w:tc>
      </w:tr>
      <w:tr>
        <w:tc>
          <w:tcPr>
            <w:tcW w:type="dxa" w:w="1728"/>
          </w:tcPr>
          <w:p>
            <w:r>
              <w:t>Material ICT service</w:t>
            </w:r>
          </w:p>
        </w:tc>
        <w:tc>
          <w:tcPr>
            <w:tcW w:type="dxa" w:w="1728"/>
          </w:tcPr>
          <w:p>
            <w:r>
              <w:t>Risk assessment, security review, data protection review, service continuity review, provider assurance evidence</w:t>
            </w:r>
          </w:p>
        </w:tc>
        <w:tc>
          <w:tcPr>
            <w:tcW w:type="dxa" w:w="1728"/>
          </w:tcPr>
          <w:p>
            <w:r>
              <w:t>Service levels, security requirements, incident notification, confidentiality, data protection, termination provisions, subcontractor notification where relevant</w:t>
            </w:r>
          </w:p>
        </w:tc>
        <w:tc>
          <w:tcPr>
            <w:tcW w:type="dxa" w:w="1728"/>
          </w:tcPr>
          <w:p>
            <w:r>
              <w:t>At least semi-annually, with annual review</w:t>
            </w:r>
          </w:p>
        </w:tc>
        <w:tc>
          <w:tcPr>
            <w:tcW w:type="dxa" w:w="1728"/>
          </w:tcPr>
          <w:p>
            <w:r>
              <w:t>Exit approach required</w:t>
            </w:r>
          </w:p>
        </w:tc>
      </w:tr>
      <w:tr>
        <w:tc>
          <w:tcPr>
            <w:tcW w:type="dxa" w:w="1728"/>
          </w:tcPr>
          <w:p>
            <w:r>
              <w:t>Standard ICT service</w:t>
            </w:r>
          </w:p>
        </w:tc>
        <w:tc>
          <w:tcPr>
            <w:tcW w:type="dxa" w:w="1728"/>
          </w:tcPr>
          <w:p>
            <w:r>
              <w:t>Proportionate risk screening, supplier checks, security and data classification review</w:t>
            </w:r>
          </w:p>
        </w:tc>
        <w:tc>
          <w:tcPr>
            <w:tcW w:type="dxa" w:w="1728"/>
          </w:tcPr>
          <w:p>
            <w:r>
              <w:t>Standard contractual protections, confidentiality, data handling, service obligations, termination rights</w:t>
            </w:r>
          </w:p>
        </w:tc>
        <w:tc>
          <w:tcPr>
            <w:tcW w:type="dxa" w:w="1728"/>
          </w:tcPr>
          <w:p>
            <w:r>
              <w:t>At least annually or upon trigger event</w:t>
            </w:r>
          </w:p>
        </w:tc>
        <w:tc>
          <w:tcPr>
            <w:tcW w:type="dxa" w:w="1728"/>
          </w:tcPr>
          <w:p>
            <w:r>
              <w:t>Basic exit considerations required</w:t>
            </w:r>
          </w:p>
        </w:tc>
      </w:tr>
      <w:tr>
        <w:tc>
          <w:tcPr>
            <w:tcW w:type="dxa" w:w="1728"/>
          </w:tcPr>
          <w:p>
            <w:r>
              <w:t>Low-risk ICT service</w:t>
            </w:r>
          </w:p>
        </w:tc>
        <w:tc>
          <w:tcPr>
            <w:tcW w:type="dxa" w:w="1728"/>
          </w:tcPr>
          <w:p>
            <w:r>
              <w:t>Basic supplier validation and business owner approval</w:t>
            </w:r>
          </w:p>
        </w:tc>
        <w:tc>
          <w:tcPr>
            <w:tcW w:type="dxa" w:w="1728"/>
          </w:tcPr>
          <w:p>
            <w:r>
              <w:t>Standard purchasing terms and confidentiality where applicable</w:t>
            </w:r>
          </w:p>
        </w:tc>
        <w:tc>
          <w:tcPr>
            <w:tcW w:type="dxa" w:w="1728"/>
          </w:tcPr>
          <w:p>
            <w:r>
              <w:t>As required</w:t>
            </w:r>
          </w:p>
        </w:tc>
        <w:tc>
          <w:tcPr>
            <w:tcW w:type="dxa" w:w="1728"/>
          </w:tcPr>
          <w:p>
            <w:r>
              <w:t>Not normally required unless risk changes</w:t>
            </w:r>
          </w:p>
        </w:tc>
      </w:tr>
    </w:tbl>
    <w:p>
      <w:r>
        <w:t>The following factors shall be considered when determining whether a multi-vendor approach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Risk Factor</w:t>
            </w:r>
          </w:p>
        </w:tc>
        <w:tc>
          <w:tcPr>
            <w:tcW w:type="dxa" w:w="2880"/>
          </w:tcPr>
          <w:p>
            <w:r>
              <w:t>Considerations</w:t>
            </w:r>
          </w:p>
        </w:tc>
        <w:tc>
          <w:tcPr>
            <w:tcW w:type="dxa" w:w="2880"/>
          </w:tcPr>
          <w:p>
            <w:r>
              <w:t>Expected Policy Outcome</w:t>
            </w:r>
          </w:p>
        </w:tc>
      </w:tr>
      <w:tr>
        <w:tc>
          <w:tcPr>
            <w:tcW w:type="dxa" w:w="2880"/>
          </w:tcPr>
          <w:p>
            <w:r>
              <w:t>Criticality of supported business service</w:t>
            </w:r>
          </w:p>
        </w:tc>
        <w:tc>
          <w:tcPr>
            <w:tcW w:type="dxa" w:w="2880"/>
          </w:tcPr>
          <w:p>
            <w:r>
              <w:t>Whether disruption would materially affect customers, markets, regulatory reporting, transaction processing, or core operations</w:t>
            </w:r>
          </w:p>
        </w:tc>
        <w:tc>
          <w:tcPr>
            <w:tcW w:type="dxa" w:w="2880"/>
          </w:tcPr>
          <w:p>
            <w:r>
              <w:t>Multi-vendor, active-active, active-passive, or tested alternative arrangement shall be considered</w:t>
            </w:r>
          </w:p>
        </w:tc>
      </w:tr>
      <w:tr>
        <w:tc>
          <w:tcPr>
            <w:tcW w:type="dxa" w:w="2880"/>
          </w:tcPr>
          <w:p>
            <w:r>
              <w:t>Provider concentration</w:t>
            </w:r>
          </w:p>
        </w:tc>
        <w:tc>
          <w:tcPr>
            <w:tcW w:type="dxa" w:w="2880"/>
          </w:tcPr>
          <w:p>
            <w:r>
              <w:t>Multiple services, entities, or regions dependent on the same provider or provider group</w:t>
            </w:r>
          </w:p>
        </w:tc>
        <w:tc>
          <w:tcPr>
            <w:tcW w:type="dxa" w:w="2880"/>
          </w:tcPr>
          <w:p>
            <w:r>
              <w:t>Exposure shall be assessed against tolerance thresholds and reported where elevated</w:t>
            </w:r>
          </w:p>
        </w:tc>
      </w:tr>
      <w:tr>
        <w:tc>
          <w:tcPr>
            <w:tcW w:type="dxa" w:w="2880"/>
          </w:tcPr>
          <w:p>
            <w:r>
              <w:t>Technology lock-in</w:t>
            </w:r>
          </w:p>
        </w:tc>
        <w:tc>
          <w:tcPr>
            <w:tcW w:type="dxa" w:w="2880"/>
          </w:tcPr>
          <w:p>
            <w:r>
              <w:t>Proprietary interfaces, bespoke integrations, non-portable data, restrictive licensing, or limited migration options</w:t>
            </w:r>
          </w:p>
        </w:tc>
        <w:tc>
          <w:tcPr>
            <w:tcW w:type="dxa" w:w="2880"/>
          </w:tcPr>
          <w:p>
            <w:r>
              <w:t>Lock-in shall be reduced where practical or formally accepted</w:t>
            </w:r>
          </w:p>
        </w:tc>
      </w:tr>
      <w:tr>
        <w:tc>
          <w:tcPr>
            <w:tcW w:type="dxa" w:w="2880"/>
          </w:tcPr>
          <w:p>
            <w:r>
              <w:t>Market substitutability</w:t>
            </w:r>
          </w:p>
        </w:tc>
        <w:tc>
          <w:tcPr>
            <w:tcW w:type="dxa" w:w="2880"/>
          </w:tcPr>
          <w:p>
            <w:r>
              <w:t>Availability of viable alternative providers or internal capability</w:t>
            </w:r>
          </w:p>
        </w:tc>
        <w:tc>
          <w:tcPr>
            <w:tcW w:type="dxa" w:w="2880"/>
          </w:tcPr>
          <w:p>
            <w:r>
              <w:t>Exit strategy shall reflect realistic replacement options</w:t>
            </w:r>
          </w:p>
        </w:tc>
      </w:tr>
      <w:tr>
        <w:tc>
          <w:tcPr>
            <w:tcW w:type="dxa" w:w="2880"/>
          </w:tcPr>
          <w:p>
            <w:r>
              <w:t>Data portability</w:t>
            </w:r>
          </w:p>
        </w:tc>
        <w:tc>
          <w:tcPr>
            <w:tcW w:type="dxa" w:w="2880"/>
          </w:tcPr>
          <w:p>
            <w:r>
              <w:t>Ability to extract data in usable, complete, and timely format</w:t>
            </w:r>
          </w:p>
        </w:tc>
        <w:tc>
          <w:tcPr>
            <w:tcW w:type="dxa" w:w="2880"/>
          </w:tcPr>
          <w:p>
            <w:r>
              <w:t>Contract and architecture shall support data return or migration</w:t>
            </w:r>
          </w:p>
        </w:tc>
      </w:tr>
      <w:tr>
        <w:tc>
          <w:tcPr>
            <w:tcW w:type="dxa" w:w="2880"/>
          </w:tcPr>
          <w:p>
            <w:r>
              <w:t>Geographic exposure</w:t>
            </w:r>
          </w:p>
        </w:tc>
        <w:tc>
          <w:tcPr>
            <w:tcW w:type="dxa" w:w="2880"/>
          </w:tcPr>
          <w:p>
            <w:r>
              <w:t>Provider operations, data storage, support, or subcontractors in higher-risk locations</w:t>
            </w:r>
          </w:p>
        </w:tc>
        <w:tc>
          <w:tcPr>
            <w:tcW w:type="dxa" w:w="2880"/>
          </w:tcPr>
          <w:p>
            <w:r>
              <w:t>Additional due diligence and resilience controls shall be required</w:t>
            </w:r>
          </w:p>
        </w:tc>
      </w:tr>
      <w:tr>
        <w:tc>
          <w:tcPr>
            <w:tcW w:type="dxa" w:w="2880"/>
          </w:tcPr>
          <w:p>
            <w:r>
              <w:t>Subcontractor dependency</w:t>
            </w:r>
          </w:p>
        </w:tc>
        <w:tc>
          <w:tcPr>
            <w:tcW w:type="dxa" w:w="2880"/>
          </w:tcPr>
          <w:p>
            <w:r>
              <w:t>Reliance on material subcontractors not directly controlled by the organisation</w:t>
            </w:r>
          </w:p>
        </w:tc>
        <w:tc>
          <w:tcPr>
            <w:tcW w:type="dxa" w:w="2880"/>
          </w:tcPr>
          <w:p>
            <w:r>
              <w:t>Transparency, notification, and flow-down obligations shall be required</w:t>
            </w:r>
          </w:p>
        </w:tc>
      </w:tr>
      <w:tr>
        <w:tc>
          <w:tcPr>
            <w:tcW w:type="dxa" w:w="2880"/>
          </w:tcPr>
          <w:p>
            <w:r>
              <w:t>Service interoperability</w:t>
            </w:r>
          </w:p>
        </w:tc>
        <w:tc>
          <w:tcPr>
            <w:tcW w:type="dxa" w:w="2880"/>
          </w:tcPr>
          <w:p>
            <w:r>
              <w:t>Ability to integrate with alternative providers or parallel services</w:t>
            </w:r>
          </w:p>
        </w:tc>
        <w:tc>
          <w:tcPr>
            <w:tcW w:type="dxa" w:w="2880"/>
          </w:tcPr>
          <w:p>
            <w:r>
              <w:t>Architecture decisions shall support resilience and exit objectives where feasible</w:t>
            </w:r>
          </w:p>
        </w:tc>
      </w:tr>
      <w:tr>
        <w:tc>
          <w:tcPr>
            <w:tcW w:type="dxa" w:w="2880"/>
          </w:tcPr>
          <w:p>
            <w:r>
              <w:t>Cost and complexity</w:t>
            </w:r>
          </w:p>
        </w:tc>
        <w:tc>
          <w:tcPr>
            <w:tcW w:type="dxa" w:w="2880"/>
          </w:tcPr>
          <w:p>
            <w:r>
              <w:t>Additional cost, operational burden, and technical complexity of multi-vendor design</w:t>
            </w:r>
          </w:p>
        </w:tc>
        <w:tc>
          <w:tcPr>
            <w:tcW w:type="dxa" w:w="2880"/>
          </w:tcPr>
          <w:p>
            <w:r>
              <w:t>Risk reduction shall be balanced against proportionality and approved risk appetite</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of Directors / Governing Body</w:t>
            </w:r>
          </w:p>
        </w:tc>
        <w:tc>
          <w:tcPr>
            <w:tcW w:type="dxa" w:w="4320"/>
          </w:tcPr>
          <w:p>
            <w:r>
              <w:t>Approves the overall ICT third-party risk strategy where required; provides oversight of material ICT third-party risks; challenges excessive concentration risk; ensures adequate resources and governance are in place.</w:t>
            </w:r>
          </w:p>
        </w:tc>
      </w:tr>
      <w:tr>
        <w:tc>
          <w:tcPr>
            <w:tcW w:type="dxa" w:w="4320"/>
          </w:tcPr>
          <w:p>
            <w:r>
              <w:t>Senior Management</w:t>
            </w:r>
          </w:p>
        </w:tc>
        <w:tc>
          <w:tcPr>
            <w:tcW w:type="dxa" w:w="4320"/>
          </w:tcPr>
          <w:p>
            <w:r>
              <w:t>Ensures this Policy is implemented; approves material risk decisions; reviews significant concentration risks, single-provider dependencies, and critical provider issues; ensures accountability remains within the organisation.</w:t>
            </w:r>
          </w:p>
        </w:tc>
      </w:tr>
      <w:tr>
        <w:tc>
          <w:tcPr>
            <w:tcW w:type="dxa" w:w="4320"/>
          </w:tcPr>
          <w:p>
            <w:r>
              <w:t>Chief Information Security Officer / Head of ICT Risk</w:t>
            </w:r>
          </w:p>
        </w:tc>
        <w:tc>
          <w:tcPr>
            <w:tcW w:type="dxa" w:w="4320"/>
          </w:tcPr>
          <w:p>
            <w:r>
              <w:t>Owns this Policy; defines ICT third-party risk standards; oversees risk assessment methodology; reviews security and resilience risks; reports material risks to governance forums.</w:t>
            </w:r>
          </w:p>
        </w:tc>
      </w:tr>
      <w:tr>
        <w:tc>
          <w:tcPr>
            <w:tcW w:type="dxa" w:w="4320"/>
          </w:tcPr>
          <w:p>
            <w:r>
              <w:t>Procurement Function</w:t>
            </w:r>
          </w:p>
        </w:tc>
        <w:tc>
          <w:tcPr>
            <w:tcW w:type="dxa" w:w="4320"/>
          </w:tcPr>
          <w:p>
            <w:r>
              <w:t>Ensures ICT provider procurement follows approved sourcing processes; embeds due diligence requirements into purchasing activity; prevents contract execution before required approvals are completed.</w:t>
            </w:r>
          </w:p>
        </w:tc>
      </w:tr>
      <w:tr>
        <w:tc>
          <w:tcPr>
            <w:tcW w:type="dxa" w:w="4320"/>
          </w:tcPr>
          <w:p>
            <w:r>
              <w:t>Legal Function</w:t>
            </w:r>
          </w:p>
        </w:tc>
        <w:tc>
          <w:tcPr>
            <w:tcW w:type="dxa" w:w="4320"/>
          </w:tcPr>
          <w:p>
            <w:r>
              <w:t>Ensures ICT contracts contain appropriate rights, protections, obligations, termination provisions, audit rights, data protection terms, subcontracting controls, and exit support provisions.</w:t>
            </w:r>
          </w:p>
        </w:tc>
      </w:tr>
      <w:tr>
        <w:tc>
          <w:tcPr>
            <w:tcW w:type="dxa" w:w="4320"/>
          </w:tcPr>
          <w:p>
            <w:r>
              <w:t>Business Service Owner</w:t>
            </w:r>
          </w:p>
        </w:tc>
        <w:tc>
          <w:tcPr>
            <w:tcW w:type="dxa" w:w="4320"/>
          </w:tcPr>
          <w:p>
            <w:r>
              <w:t>Owns the business need for the ICT service; determines business criticality; ensures service risks are understood; supports provider monitoring, exit planning, and continuity requirements.</w:t>
            </w:r>
          </w:p>
        </w:tc>
      </w:tr>
      <w:tr>
        <w:tc>
          <w:tcPr>
            <w:tcW w:type="dxa" w:w="4320"/>
          </w:tcPr>
          <w:p>
            <w:r>
              <w:t>Contract Owner</w:t>
            </w:r>
          </w:p>
        </w:tc>
        <w:tc>
          <w:tcPr>
            <w:tcW w:type="dxa" w:w="4320"/>
          </w:tcPr>
          <w:p>
            <w:r>
              <w:t>Maintains the contractual relationship; tracks renewal dates, service obligations, amendments, breaches, and termination provisions; coordinates contract reviews and escalations.</w:t>
            </w:r>
          </w:p>
        </w:tc>
      </w:tr>
      <w:tr>
        <w:tc>
          <w:tcPr>
            <w:tcW w:type="dxa" w:w="4320"/>
          </w:tcPr>
          <w:p>
            <w:r>
              <w:t>Technology / ICT Service Owner</w:t>
            </w:r>
          </w:p>
        </w:tc>
        <w:tc>
          <w:tcPr>
            <w:tcW w:type="dxa" w:w="4320"/>
          </w:tcPr>
          <w:p>
            <w:r>
              <w:t>Assesses technical architecture, integration dependencies, security requirements, performance requirements, resilience arrangements, and exit feasibility; supports technical monitoring and transition planning.</w:t>
            </w:r>
          </w:p>
        </w:tc>
      </w:tr>
      <w:tr>
        <w:tc>
          <w:tcPr>
            <w:tcW w:type="dxa" w:w="4320"/>
          </w:tcPr>
          <w:p>
            <w:r>
              <w:t>Third-Party Risk Management Function</w:t>
            </w:r>
          </w:p>
        </w:tc>
        <w:tc>
          <w:tcPr>
            <w:tcW w:type="dxa" w:w="4320"/>
          </w:tcPr>
          <w:p>
            <w:r>
              <w:t>Maintains the ICT provider inventory; coordinates due diligence, risk assessments, monitoring, issue tracking, and reporting; supports concentration risk analysis and governance reporting.</w:t>
            </w:r>
          </w:p>
        </w:tc>
      </w:tr>
      <w:tr>
        <w:tc>
          <w:tcPr>
            <w:tcW w:type="dxa" w:w="4320"/>
          </w:tcPr>
          <w:p>
            <w:r>
              <w:t>Business Continuity / Operational Resilience Function</w:t>
            </w:r>
          </w:p>
        </w:tc>
        <w:tc>
          <w:tcPr>
            <w:tcW w:type="dxa" w:w="4320"/>
          </w:tcPr>
          <w:p>
            <w:r>
              <w:t>Ensures ICT provider dependencies are reflected in continuity plans, resilience testing, impact analysis, scenario testing, and crisis management arrangements.</w:t>
            </w:r>
          </w:p>
        </w:tc>
      </w:tr>
      <w:tr>
        <w:tc>
          <w:tcPr>
            <w:tcW w:type="dxa" w:w="4320"/>
          </w:tcPr>
          <w:p>
            <w:r>
              <w:t>Data Protection / Privacy Function</w:t>
            </w:r>
          </w:p>
        </w:tc>
        <w:tc>
          <w:tcPr>
            <w:tcW w:type="dxa" w:w="4320"/>
          </w:tcPr>
          <w:p>
            <w:r>
              <w:t>Reviews provider processing of personal data; ensures appropriate data protection terms, transfer safeguards, retention controls, and deletion requirements are implemented.</w:t>
            </w:r>
          </w:p>
        </w:tc>
      </w:tr>
      <w:tr>
        <w:tc>
          <w:tcPr>
            <w:tcW w:type="dxa" w:w="4320"/>
          </w:tcPr>
          <w:p>
            <w:r>
              <w:t>Finance Function</w:t>
            </w:r>
          </w:p>
        </w:tc>
        <w:tc>
          <w:tcPr>
            <w:tcW w:type="dxa" w:w="4320"/>
          </w:tcPr>
          <w:p>
            <w:r>
              <w:t>Supports assessment of provider financial viability where relevant; reviews cost implications of multi-vendor, exit, transition, and resilience options.</w:t>
            </w:r>
          </w:p>
        </w:tc>
      </w:tr>
      <w:tr>
        <w:tc>
          <w:tcPr>
            <w:tcW w:type="dxa" w:w="4320"/>
          </w:tcPr>
          <w:p>
            <w:r>
              <w:t>Internal Audit</w:t>
            </w:r>
          </w:p>
        </w:tc>
        <w:tc>
          <w:tcPr>
            <w:tcW w:type="dxa" w:w="4320"/>
          </w:tcPr>
          <w:p>
            <w:r>
              <w:t>Provides independent assurance over the design and effectiveness of ICT third-party risk management controls, governance, and compliance with this Policy.</w:t>
            </w:r>
          </w:p>
        </w:tc>
      </w:tr>
      <w:tr>
        <w:tc>
          <w:tcPr>
            <w:tcW w:type="dxa" w:w="4320"/>
          </w:tcPr>
          <w:p>
            <w:r>
              <w:t>Employees and Contractors</w:t>
            </w:r>
          </w:p>
        </w:tc>
        <w:tc>
          <w:tcPr>
            <w:tcW w:type="dxa" w:w="4320"/>
          </w:tcPr>
          <w:p>
            <w:r>
              <w:t>Use only approved ICT providers and services; follow procurement and onboarding processes; promptly report provider issues, security concerns, or unauthorised ICT service use.</w:t>
            </w:r>
          </w:p>
        </w:tc>
      </w:tr>
    </w:tbl>
    <w:p>
      <w:pPr>
        <w:pStyle w:val="Heading2"/>
      </w:pPr>
      <w:r>
        <w:t>Compliance, Monitoring &amp; Enforcement</w:t>
      </w:r>
    </w:p>
    <w:p>
      <w:r>
        <w:t>Compliance with this Policy is mandatory. The organisation shall monitor compliance through a combination of preventive controls, management oversight, independent assurance, and operational reporting.</w:t>
      </w:r>
    </w:p>
    <w:p>
      <w:r>
        <w:t>The following compliance and monitoring activities shall be performed: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Responsible Function</w:t>
            </w:r>
          </w:p>
        </w:tc>
        <w:tc>
          <w:tcPr>
            <w:tcW w:type="dxa" w:w="2160"/>
          </w:tcPr>
          <w:p>
            <w:r>
              <w:t>Frequency</w:t>
            </w:r>
          </w:p>
        </w:tc>
        <w:tc>
          <w:tcPr>
            <w:tcW w:type="dxa" w:w="2160"/>
          </w:tcPr>
          <w:p>
            <w:r>
              <w:t>Evidence</w:t>
            </w:r>
          </w:p>
        </w:tc>
      </w:tr>
      <w:tr>
        <w:tc>
          <w:tcPr>
            <w:tcW w:type="dxa" w:w="2160"/>
          </w:tcPr>
          <w:p>
            <w:r>
              <w:t>ICT provider inventory review</w:t>
            </w:r>
          </w:p>
        </w:tc>
        <w:tc>
          <w:tcPr>
            <w:tcW w:type="dxa" w:w="2160"/>
          </w:tcPr>
          <w:p>
            <w:r>
              <w:t>Third-Party Risk Management</w:t>
            </w:r>
          </w:p>
        </w:tc>
        <w:tc>
          <w:tcPr>
            <w:tcW w:type="dxa" w:w="2160"/>
          </w:tcPr>
          <w:p>
            <w:r>
              <w:t>Quarterly</w:t>
            </w:r>
          </w:p>
        </w:tc>
        <w:tc>
          <w:tcPr>
            <w:tcW w:type="dxa" w:w="2160"/>
          </w:tcPr>
          <w:p>
            <w:r>
              <w:t>Updated inventory, change log, completeness attestation</w:t>
            </w:r>
          </w:p>
        </w:tc>
      </w:tr>
      <w:tr>
        <w:tc>
          <w:tcPr>
            <w:tcW w:type="dxa" w:w="2160"/>
          </w:tcPr>
          <w:p>
            <w:r>
              <w:t>Critical and important ICT service review</w:t>
            </w:r>
          </w:p>
        </w:tc>
        <w:tc>
          <w:tcPr>
            <w:tcW w:type="dxa" w:w="2160"/>
          </w:tcPr>
          <w:p>
            <w:r>
              <w:t>ICT Risk / Business Owners</w:t>
            </w:r>
          </w:p>
        </w:tc>
        <w:tc>
          <w:tcPr>
            <w:tcW w:type="dxa" w:w="2160"/>
          </w:tcPr>
          <w:p>
            <w:r>
              <w:t>At least annually</w:t>
            </w:r>
          </w:p>
        </w:tc>
        <w:tc>
          <w:tcPr>
            <w:tcW w:type="dxa" w:w="2160"/>
          </w:tcPr>
          <w:p>
            <w:r>
              <w:t>Criticality assessments, approval records</w:t>
            </w:r>
          </w:p>
        </w:tc>
      </w:tr>
      <w:tr>
        <w:tc>
          <w:tcPr>
            <w:tcW w:type="dxa" w:w="2160"/>
          </w:tcPr>
          <w:p>
            <w:r>
              <w:t>Concentration risk assessment</w:t>
            </w:r>
          </w:p>
        </w:tc>
        <w:tc>
          <w:tcPr>
            <w:tcW w:type="dxa" w:w="2160"/>
          </w:tcPr>
          <w:p>
            <w:r>
              <w:t>ICT Risk / Operational Resilience</w:t>
            </w:r>
          </w:p>
        </w:tc>
        <w:tc>
          <w:tcPr>
            <w:tcW w:type="dxa" w:w="2160"/>
          </w:tcPr>
          <w:p>
            <w:r>
              <w:t>At least annually and upon material change</w:t>
            </w:r>
          </w:p>
        </w:tc>
        <w:tc>
          <w:tcPr>
            <w:tcW w:type="dxa" w:w="2160"/>
          </w:tcPr>
          <w:p>
            <w:r>
              <w:t>Concentration risk report, risk heatmap, management actions</w:t>
            </w:r>
          </w:p>
        </w:tc>
      </w:tr>
      <w:tr>
        <w:tc>
          <w:tcPr>
            <w:tcW w:type="dxa" w:w="2160"/>
          </w:tcPr>
          <w:p>
            <w:r>
              <w:t>Due diligence completion check</w:t>
            </w:r>
          </w:p>
        </w:tc>
        <w:tc>
          <w:tcPr>
            <w:tcW w:type="dxa" w:w="2160"/>
          </w:tcPr>
          <w:p>
            <w:r>
              <w:t>Procurement / Third-Party Risk Management</w:t>
            </w:r>
          </w:p>
        </w:tc>
        <w:tc>
          <w:tcPr>
            <w:tcW w:type="dxa" w:w="2160"/>
          </w:tcPr>
          <w:p>
            <w:r>
              <w:t>Before contract approval</w:t>
            </w:r>
          </w:p>
        </w:tc>
        <w:tc>
          <w:tcPr>
            <w:tcW w:type="dxa" w:w="2160"/>
          </w:tcPr>
          <w:p>
            <w:r>
              <w:t>Due diligence file, risk assessment, approvals</w:t>
            </w:r>
          </w:p>
        </w:tc>
      </w:tr>
      <w:tr>
        <w:tc>
          <w:tcPr>
            <w:tcW w:type="dxa" w:w="2160"/>
          </w:tcPr>
          <w:p>
            <w:r>
              <w:t>Contract compliance review for critical providers</w:t>
            </w:r>
          </w:p>
        </w:tc>
        <w:tc>
          <w:tcPr>
            <w:tcW w:type="dxa" w:w="2160"/>
          </w:tcPr>
          <w:p>
            <w:r>
              <w:t>Legal / Contract Owner</w:t>
            </w:r>
          </w:p>
        </w:tc>
        <w:tc>
          <w:tcPr>
            <w:tcW w:type="dxa" w:w="2160"/>
          </w:tcPr>
          <w:p>
            <w:r>
              <w:t>At onboarding and renewal</w:t>
            </w:r>
          </w:p>
        </w:tc>
        <w:tc>
          <w:tcPr>
            <w:tcW w:type="dxa" w:w="2160"/>
          </w:tcPr>
          <w:p>
            <w:r>
              <w:t>Contract checklist, gap assessment, remediation plan</w:t>
            </w:r>
          </w:p>
        </w:tc>
      </w:tr>
      <w:tr>
        <w:tc>
          <w:tcPr>
            <w:tcW w:type="dxa" w:w="2160"/>
          </w:tcPr>
          <w:p>
            <w:r>
              <w:t>Provider performance and risk monitoring</w:t>
            </w:r>
          </w:p>
        </w:tc>
        <w:tc>
          <w:tcPr>
            <w:tcW w:type="dxa" w:w="2160"/>
          </w:tcPr>
          <w:p>
            <w:r>
              <w:t>Contract Owner / Service Owner</w:t>
            </w:r>
          </w:p>
        </w:tc>
        <w:tc>
          <w:tcPr>
            <w:tcW w:type="dxa" w:w="2160"/>
          </w:tcPr>
          <w:p>
            <w:r>
              <w:t>Quarterly for critical providers</w:t>
            </w:r>
          </w:p>
        </w:tc>
        <w:tc>
          <w:tcPr>
            <w:tcW w:type="dxa" w:w="2160"/>
          </w:tcPr>
          <w:p>
            <w:r>
              <w:t>Service reports, risk indicators, issue logs</w:t>
            </w:r>
          </w:p>
        </w:tc>
      </w:tr>
      <w:tr>
        <w:tc>
          <w:tcPr>
            <w:tcW w:type="dxa" w:w="2160"/>
          </w:tcPr>
          <w:p>
            <w:r>
              <w:t>Provider assurance review</w:t>
            </w:r>
          </w:p>
        </w:tc>
        <w:tc>
          <w:tcPr>
            <w:tcW w:type="dxa" w:w="2160"/>
          </w:tcPr>
          <w:p>
            <w:r>
              <w:t>ICT Risk / Information Security</w:t>
            </w:r>
          </w:p>
        </w:tc>
        <w:tc>
          <w:tcPr>
            <w:tcW w:type="dxa" w:w="2160"/>
          </w:tcPr>
          <w:p>
            <w:r>
              <w:t>At least annually for critical providers</w:t>
            </w:r>
          </w:p>
        </w:tc>
        <w:tc>
          <w:tcPr>
            <w:tcW w:type="dxa" w:w="2160"/>
          </w:tcPr>
          <w:p>
            <w:r>
              <w:t>Assurance reports, certifications, control reviews, exceptions</w:t>
            </w:r>
          </w:p>
        </w:tc>
      </w:tr>
      <w:tr>
        <w:tc>
          <w:tcPr>
            <w:tcW w:type="dxa" w:w="2160"/>
          </w:tcPr>
          <w:p>
            <w:r>
              <w:t>Exit plan review</w:t>
            </w:r>
          </w:p>
        </w:tc>
        <w:tc>
          <w:tcPr>
            <w:tcW w:type="dxa" w:w="2160"/>
          </w:tcPr>
          <w:p>
            <w:r>
              <w:t>Business Owner / ICT Service Owner</w:t>
            </w:r>
          </w:p>
        </w:tc>
        <w:tc>
          <w:tcPr>
            <w:tcW w:type="dxa" w:w="2160"/>
          </w:tcPr>
          <w:p>
            <w:r>
              <w:t>At least annually for critical providers</w:t>
            </w:r>
          </w:p>
        </w:tc>
        <w:tc>
          <w:tcPr>
            <w:tcW w:type="dxa" w:w="2160"/>
          </w:tcPr>
          <w:p>
            <w:r>
              <w:t>Exit plan, validation record, action log</w:t>
            </w:r>
          </w:p>
        </w:tc>
      </w:tr>
      <w:tr>
        <w:tc>
          <w:tcPr>
            <w:tcW w:type="dxa" w:w="2160"/>
          </w:tcPr>
          <w:p>
            <w:r>
              <w:t>Subcontractor dependency review</w:t>
            </w:r>
          </w:p>
        </w:tc>
        <w:tc>
          <w:tcPr>
            <w:tcW w:type="dxa" w:w="2160"/>
          </w:tcPr>
          <w:p>
            <w:r>
              <w:t>Third-Party Risk Management / Legal</w:t>
            </w:r>
          </w:p>
        </w:tc>
        <w:tc>
          <w:tcPr>
            <w:tcW w:type="dxa" w:w="2160"/>
          </w:tcPr>
          <w:p>
            <w:r>
              <w:t>At least annually for critical providers</w:t>
            </w:r>
          </w:p>
        </w:tc>
        <w:tc>
          <w:tcPr>
            <w:tcW w:type="dxa" w:w="2160"/>
          </w:tcPr>
          <w:p>
            <w:r>
              <w:t>Subcontractor register, risk assessment, provider notifications</w:t>
            </w:r>
          </w:p>
        </w:tc>
      </w:tr>
      <w:tr>
        <w:tc>
          <w:tcPr>
            <w:tcW w:type="dxa" w:w="2160"/>
          </w:tcPr>
          <w:p>
            <w:r>
              <w:t>Policy compliance reporting</w:t>
            </w:r>
          </w:p>
        </w:tc>
        <w:tc>
          <w:tcPr>
            <w:tcW w:type="dxa" w:w="2160"/>
          </w:tcPr>
          <w:p>
            <w:r>
              <w:t>ICT Risk</w:t>
            </w:r>
          </w:p>
        </w:tc>
        <w:tc>
          <w:tcPr>
            <w:tcW w:type="dxa" w:w="2160"/>
          </w:tcPr>
          <w:p>
            <w:r>
              <w:t>Quarterly</w:t>
            </w:r>
          </w:p>
        </w:tc>
        <w:tc>
          <w:tcPr>
            <w:tcW w:type="dxa" w:w="2160"/>
          </w:tcPr>
          <w:p>
            <w:r>
              <w:t>Management dashboard, breaches, exceptions, remediation status</w:t>
            </w:r>
          </w:p>
        </w:tc>
      </w:tr>
      <w:tr>
        <w:tc>
          <w:tcPr>
            <w:tcW w:type="dxa" w:w="2160"/>
          </w:tcPr>
          <w:p>
            <w:r>
              <w:t>Independent assurance</w:t>
            </w:r>
          </w:p>
        </w:tc>
        <w:tc>
          <w:tcPr>
            <w:tcW w:type="dxa" w:w="2160"/>
          </w:tcPr>
          <w:p>
            <w:r>
              <w:t>Internal Audit</w:t>
            </w:r>
          </w:p>
        </w:tc>
        <w:tc>
          <w:tcPr>
            <w:tcW w:type="dxa" w:w="2160"/>
          </w:tcPr>
          <w:p>
            <w:r>
              <w:t>Risk-based audit plan</w:t>
            </w:r>
          </w:p>
        </w:tc>
        <w:tc>
          <w:tcPr>
            <w:tcW w:type="dxa" w:w="2160"/>
          </w:tcPr>
          <w:p>
            <w:r>
              <w:t>Audit reports, findings, management responses</w:t>
            </w:r>
          </w:p>
        </w:tc>
      </w:tr>
    </w:tbl>
    <w:p>
      <w:r>
        <w:t>Non-compliance with this Policy may result in one or more of the following actions:</w:t>
      </w:r>
    </w:p>
    <w:p>
      <w:pPr>
        <w:pStyle w:val="ListBullet"/>
      </w:pPr>
      <w:r>
        <w:t>Suspension or rejection of ICT provider onboarding.</w:t>
      </w:r>
    </w:p>
    <w:p>
      <w:pPr>
        <w:pStyle w:val="ListBullet"/>
      </w:pPr>
      <w:r>
        <w:t>Escalation to senior management or the relevant risk committee.</w:t>
      </w:r>
    </w:p>
    <w:p>
      <w:pPr>
        <w:pStyle w:val="ListBullet"/>
      </w:pPr>
      <w:r>
        <w:t>Requirement for remediation before contract execution or renewal.</w:t>
      </w:r>
    </w:p>
    <w:p>
      <w:pPr>
        <w:pStyle w:val="ListBullet"/>
      </w:pPr>
      <w:r>
        <w:t>Restriction, reduction, or termination of provider services.</w:t>
      </w:r>
    </w:p>
    <w:p>
      <w:pPr>
        <w:pStyle w:val="ListBullet"/>
      </w:pPr>
      <w:r>
        <w:t>Formal risk acceptance by authorised management.</w:t>
      </w:r>
    </w:p>
    <w:p>
      <w:pPr>
        <w:pStyle w:val="ListBullet"/>
      </w:pPr>
      <w:r>
        <w:t>Disciplinary action for employees who knowingly bypass required controls.</w:t>
      </w:r>
    </w:p>
    <w:p>
      <w:pPr>
        <w:pStyle w:val="ListBullet"/>
      </w:pPr>
      <w:r>
        <w:t>Notification to relevant governance, legal, compliance, or regulatory stakeholders where appropriate.</w:t>
      </w:r>
    </w:p>
    <w:p>
      <w:r>
        <w:t>Material breaches of this Policy shall be recorded, investigated, and remediated. Root causes shall be identified and addressed to prevent recurrence.</w:t>
      </w:r>
    </w:p>
    <w:p>
      <w:pPr>
        <w:pStyle w:val="Heading2"/>
      </w:pPr>
      <w:r>
        <w:t>Exceptions</w:t>
      </w:r>
    </w:p>
    <w:p>
      <w:r>
        <w:t>Exceptions to this Policy shall be permitted only where there is a documented business justification, risk assessment, compensating controls, defined expiry date, and approval by the appropriate authority.</w:t>
      </w:r>
    </w:p>
    <w:p>
      <w:r>
        <w:t>Exceptions shall not be used to bypass mandatory regulatory, legal, security, or operational resilience requirements. Exceptions for critical or important ICT services shall require enhanced scrutiny and senior management approval.</w:t>
      </w:r>
    </w:p>
    <w:p>
      <w:r>
        <w:t>Each exception request shall include:</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Exception title</w:t>
            </w:r>
          </w:p>
        </w:tc>
        <w:tc>
          <w:tcPr>
            <w:tcW w:type="dxa" w:w="4320"/>
          </w:tcPr>
          <w:p>
            <w:r>
              <w:t>Short description of the requested deviation</w:t>
            </w:r>
          </w:p>
        </w:tc>
      </w:tr>
      <w:tr>
        <w:tc>
          <w:tcPr>
            <w:tcW w:type="dxa" w:w="4320"/>
          </w:tcPr>
          <w:p>
            <w:r>
              <w:t>Policy requirement affected</w:t>
            </w:r>
          </w:p>
        </w:tc>
        <w:tc>
          <w:tcPr>
            <w:tcW w:type="dxa" w:w="4320"/>
          </w:tcPr>
          <w:p>
            <w:r>
              <w:t>The specific requirement that cannot be met</w:t>
            </w:r>
          </w:p>
        </w:tc>
      </w:tr>
      <w:tr>
        <w:tc>
          <w:tcPr>
            <w:tcW w:type="dxa" w:w="4320"/>
          </w:tcPr>
          <w:p>
            <w:r>
              <w:t>Business justification</w:t>
            </w:r>
          </w:p>
        </w:tc>
        <w:tc>
          <w:tcPr>
            <w:tcW w:type="dxa" w:w="4320"/>
          </w:tcPr>
          <w:p>
            <w:r>
              <w:t>Why compliance is not currently possible or proportionate</w:t>
            </w:r>
          </w:p>
        </w:tc>
      </w:tr>
      <w:tr>
        <w:tc>
          <w:tcPr>
            <w:tcW w:type="dxa" w:w="4320"/>
          </w:tcPr>
          <w:p>
            <w:r>
              <w:t>Provider and service affected</w:t>
            </w:r>
          </w:p>
        </w:tc>
        <w:tc>
          <w:tcPr>
            <w:tcW w:type="dxa" w:w="4320"/>
          </w:tcPr>
          <w:p>
            <w:r>
              <w:t>ICT provider name, service name, and business owner</w:t>
            </w:r>
          </w:p>
        </w:tc>
      </w:tr>
      <w:tr>
        <w:tc>
          <w:tcPr>
            <w:tcW w:type="dxa" w:w="4320"/>
          </w:tcPr>
          <w:p>
            <w:r>
              <w:t>Criticality rating</w:t>
            </w:r>
          </w:p>
        </w:tc>
        <w:tc>
          <w:tcPr>
            <w:tcW w:type="dxa" w:w="4320"/>
          </w:tcPr>
          <w:p>
            <w:r>
              <w:t>Critical, important, material, standard, or low-risk</w:t>
            </w:r>
          </w:p>
        </w:tc>
      </w:tr>
      <w:tr>
        <w:tc>
          <w:tcPr>
            <w:tcW w:type="dxa" w:w="4320"/>
          </w:tcPr>
          <w:p>
            <w:r>
              <w:t>Risk assessment</w:t>
            </w:r>
          </w:p>
        </w:tc>
        <w:tc>
          <w:tcPr>
            <w:tcW w:type="dxa" w:w="4320"/>
          </w:tcPr>
          <w:p>
            <w:r>
              <w:t>Description of risks introduced by the exception</w:t>
            </w:r>
          </w:p>
        </w:tc>
      </w:tr>
      <w:tr>
        <w:tc>
          <w:tcPr>
            <w:tcW w:type="dxa" w:w="4320"/>
          </w:tcPr>
          <w:p>
            <w:r>
              <w:t>Compensating controls</w:t>
            </w:r>
          </w:p>
        </w:tc>
        <w:tc>
          <w:tcPr>
            <w:tcW w:type="dxa" w:w="4320"/>
          </w:tcPr>
          <w:p>
            <w:r>
              <w:t>Measures to reduce or monitor the risk</w:t>
            </w:r>
          </w:p>
        </w:tc>
      </w:tr>
      <w:tr>
        <w:tc>
          <w:tcPr>
            <w:tcW w:type="dxa" w:w="4320"/>
          </w:tcPr>
          <w:p>
            <w:r>
              <w:t>Duration</w:t>
            </w:r>
          </w:p>
        </w:tc>
        <w:tc>
          <w:tcPr>
            <w:tcW w:type="dxa" w:w="4320"/>
          </w:tcPr>
          <w:p>
            <w:r>
              <w:t>Start date, expiry date, and review date</w:t>
            </w:r>
          </w:p>
        </w:tc>
      </w:tr>
      <w:tr>
        <w:tc>
          <w:tcPr>
            <w:tcW w:type="dxa" w:w="4320"/>
          </w:tcPr>
          <w:p>
            <w:r>
              <w:t>Remediation plan</w:t>
            </w:r>
          </w:p>
        </w:tc>
        <w:tc>
          <w:tcPr>
            <w:tcW w:type="dxa" w:w="4320"/>
          </w:tcPr>
          <w:p>
            <w:r>
              <w:t>Actions required to achieve compliance, with owners and dates</w:t>
            </w:r>
          </w:p>
        </w:tc>
      </w:tr>
      <w:tr>
        <w:tc>
          <w:tcPr>
            <w:tcW w:type="dxa" w:w="4320"/>
          </w:tcPr>
          <w:p>
            <w:r>
              <w:t>Approval</w:t>
            </w:r>
          </w:p>
        </w:tc>
        <w:tc>
          <w:tcPr>
            <w:tcW w:type="dxa" w:w="4320"/>
          </w:tcPr>
          <w:p>
            <w:r>
              <w:t>Required approval based on risk and criticality</w:t>
            </w:r>
          </w:p>
        </w:tc>
      </w:tr>
    </w:tbl>
    <w:p>
      <w:r>
        <w:t>Minimum approval requirements for exceptions are as follows:</w:t>
      </w:r>
    </w:p>
    <w:tbl>
      <w:tblPr>
        <w:tblStyle w:val="TableGrid"/>
        <w:tblW w:type="auto" w:w="0"/>
        <w:tblLook w:firstColumn="1" w:firstRow="1" w:lastColumn="0" w:lastRow="0" w:noHBand="0" w:noVBand="1" w:val="04A0"/>
      </w:tblPr>
      <w:tblGrid>
        <w:gridCol w:w="4320"/>
        <w:gridCol w:w="4320"/>
      </w:tblGrid>
      <w:tr>
        <w:tc>
          <w:tcPr>
            <w:tcW w:type="dxa" w:w="4320"/>
          </w:tcPr>
          <w:p>
            <w:r>
              <w:t>Exception Type</w:t>
            </w:r>
          </w:p>
        </w:tc>
        <w:tc>
          <w:tcPr>
            <w:tcW w:type="dxa" w:w="4320"/>
          </w:tcPr>
          <w:p>
            <w:r>
              <w:t>Minimum Approval</w:t>
            </w:r>
          </w:p>
        </w:tc>
      </w:tr>
      <w:tr>
        <w:tc>
          <w:tcPr>
            <w:tcW w:type="dxa" w:w="4320"/>
          </w:tcPr>
          <w:p>
            <w:r>
              <w:t>Low-risk or administrative exception</w:t>
            </w:r>
          </w:p>
        </w:tc>
        <w:tc>
          <w:tcPr>
            <w:tcW w:type="dxa" w:w="4320"/>
          </w:tcPr>
          <w:p>
            <w:r>
              <w:t>Policy Owner or delegated ICT Risk Manager</w:t>
            </w:r>
          </w:p>
        </w:tc>
      </w:tr>
      <w:tr>
        <w:tc>
          <w:tcPr>
            <w:tcW w:type="dxa" w:w="4320"/>
          </w:tcPr>
          <w:p>
            <w:r>
              <w:t>Material ICT service exception</w:t>
            </w:r>
          </w:p>
        </w:tc>
        <w:tc>
          <w:tcPr>
            <w:tcW w:type="dxa" w:w="4320"/>
          </w:tcPr>
          <w:p>
            <w:r>
              <w:t>Business Owner, ICT Risk, and Procurement</w:t>
            </w:r>
          </w:p>
        </w:tc>
      </w:tr>
      <w:tr>
        <w:tc>
          <w:tcPr>
            <w:tcW w:type="dxa" w:w="4320"/>
          </w:tcPr>
          <w:p>
            <w:r>
              <w:t>Critical or important ICT service exception</w:t>
            </w:r>
          </w:p>
        </w:tc>
        <w:tc>
          <w:tcPr>
            <w:tcW w:type="dxa" w:w="4320"/>
          </w:tcPr>
          <w:p>
            <w:r>
              <w:t>Senior Management and relevant risk governance forum</w:t>
            </w:r>
          </w:p>
        </w:tc>
      </w:tr>
      <w:tr>
        <w:tc>
          <w:tcPr>
            <w:tcW w:type="dxa" w:w="4320"/>
          </w:tcPr>
          <w:p>
            <w:r>
              <w:t>Exception involving significant concentration risk, single-provider dependency, or limited exit capability</w:t>
            </w:r>
          </w:p>
        </w:tc>
        <w:tc>
          <w:tcPr>
            <w:tcW w:type="dxa" w:w="4320"/>
          </w:tcPr>
          <w:p>
            <w:r>
              <w:t>Senior Management with documented risk acceptance</w:t>
            </w:r>
          </w:p>
        </w:tc>
      </w:tr>
      <w:tr>
        <w:tc>
          <w:tcPr>
            <w:tcW w:type="dxa" w:w="4320"/>
          </w:tcPr>
          <w:p>
            <w:r>
              <w:t>Exception involving legal, data protection, or contractual limitations</w:t>
            </w:r>
          </w:p>
        </w:tc>
        <w:tc>
          <w:tcPr>
            <w:tcW w:type="dxa" w:w="4320"/>
          </w:tcPr>
          <w:p>
            <w:r>
              <w:t>Legal and Data Protection approval, plus ICT Risk approval</w:t>
            </w:r>
          </w:p>
        </w:tc>
      </w:tr>
    </w:tbl>
    <w:p>
      <w:r>
        <w:t>Approved exceptions shall be recorded in the exception register and monitored until closure. Expired exceptions shall not remain valid unless formally reassessed and reapproved.</w:t>
      </w:r>
    </w:p>
    <w:p>
      <w:pPr>
        <w:pStyle w:val="Heading2"/>
      </w:pPr>
      <w:r>
        <w:t>Review &amp; Maintenance</w:t>
      </w:r>
    </w:p>
    <w:p>
      <w:r>
        <w:t>This Policy shall be reviewed at least annually and whenever significant changes occur, including:</w:t>
      </w:r>
    </w:p>
    <w:p>
      <w:pPr>
        <w:pStyle w:val="ListBullet"/>
      </w:pPr>
      <w:r>
        <w:t>Changes to applicable legal or regulatory obligations.</w:t>
      </w:r>
    </w:p>
    <w:p>
      <w:pPr>
        <w:pStyle w:val="ListBullet"/>
      </w:pPr>
      <w:r>
        <w:t>Material changes to the organisation’s business model, ICT strategy, operating model, or sourcing strategy.</w:t>
      </w:r>
    </w:p>
    <w:p>
      <w:pPr>
        <w:pStyle w:val="ListBullet"/>
      </w:pPr>
      <w:r>
        <w:t>Introduction of new critical or important ICT services.</w:t>
      </w:r>
    </w:p>
    <w:p>
      <w:pPr>
        <w:pStyle w:val="ListBullet"/>
      </w:pPr>
      <w:r>
        <w:t>Material changes in the ICT provider landscape or provider concentration profile.</w:t>
      </w:r>
    </w:p>
    <w:p>
      <w:pPr>
        <w:pStyle w:val="ListBullet"/>
      </w:pPr>
      <w:r>
        <w:t>Significant ICT incidents, provider failures, service disruptions, or security events.</w:t>
      </w:r>
    </w:p>
    <w:p>
      <w:pPr>
        <w:pStyle w:val="ListBullet"/>
      </w:pPr>
      <w:r>
        <w:t>Internal audit findings, regulatory feedback, control failures, or material risk events.</w:t>
      </w:r>
    </w:p>
    <w:p>
      <w:pPr>
        <w:pStyle w:val="ListBullet"/>
      </w:pPr>
      <w:r>
        <w:t>Changes to operational resilience, business continuity, information security, data protection, or procurement requirements.</w:t>
      </w:r>
    </w:p>
    <w:p>
      <w:r>
        <w:t>The Policy Owner is responsible for coordinating the review, incorporating stakeholder input, obtaining required approvals, and ensuring the current approved version is published and communicated.</w:t>
      </w:r>
    </w:p>
    <w:p>
      <w:r>
        <w:t>Version history shall be maintained as follows: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Version</w:t>
            </w:r>
          </w:p>
        </w:tc>
        <w:tc>
          <w:tcPr>
            <w:tcW w:type="dxa" w:w="1728"/>
          </w:tcPr>
          <w:p>
            <w:r>
              <w:t>Date</w:t>
            </w:r>
          </w:p>
        </w:tc>
        <w:tc>
          <w:tcPr>
            <w:tcW w:type="dxa" w:w="1728"/>
          </w:tcPr>
          <w:p>
            <w:r>
              <w:t>Description of Change</w:t>
            </w:r>
          </w:p>
        </w:tc>
        <w:tc>
          <w:tcPr>
            <w:tcW w:type="dxa" w:w="1728"/>
          </w:tcPr>
          <w:p>
            <w:r>
              <w:t>Author</w:t>
            </w:r>
          </w:p>
        </w:tc>
        <w:tc>
          <w:tcPr>
            <w:tcW w:type="dxa" w:w="1728"/>
          </w:tcPr>
          <w:p>
            <w:r>
              <w:t>Approval</w:t>
            </w:r>
          </w:p>
        </w:tc>
      </w:tr>
      <w:tr>
        <w:tc>
          <w:tcPr>
            <w:tcW w:type="dxa" w:w="1728"/>
          </w:tcPr>
          <w:p>
            <w:r>
              <w:t>1.0</w:t>
            </w:r>
          </w:p>
        </w:tc>
        <w:tc>
          <w:tcPr>
            <w:tcW w:type="dxa" w:w="1728"/>
          </w:tcPr>
          <w:p>
            <w:r>
              <w:t>[Effective Date]</w:t>
            </w:r>
          </w:p>
        </w:tc>
        <w:tc>
          <w:tcPr>
            <w:tcW w:type="dxa" w:w="1728"/>
          </w:tcPr>
          <w:p>
            <w:r>
              <w:t>Initial approved version</w:t>
            </w:r>
          </w:p>
        </w:tc>
        <w:tc>
          <w:tcPr>
            <w:tcW w:type="dxa" w:w="1728"/>
          </w:tcPr>
          <w:p>
            <w:r>
              <w:t>[Author Name / Role]</w:t>
            </w:r>
          </w:p>
        </w:tc>
        <w:tc>
          <w:tcPr>
            <w:tcW w:type="dxa" w:w="1728"/>
          </w:tcPr>
          <w:p>
            <w:r>
              <w:t>[Approver / Committee]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