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Programme Annual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[PRIV-REP-001]</w:t>
            </w:r>
          </w:p>
        </w:tc>
        <w:tc>
          <w:tcPr>
            <w:tcW w:type="dxa" w:w="1440"/>
          </w:tcPr>
          <w:p>
            <w:r>
              <w:t>1.0</w:t>
            </w:r>
          </w:p>
        </w:tc>
        <w:tc>
          <w:tcPr>
            <w:tcW w:type="dxa" w:w="1440"/>
          </w:tcPr>
          <w:p>
            <w:r>
              <w:t>Data Protection Officer / Privacy Office</w:t>
            </w:r>
          </w:p>
        </w:tc>
        <w:tc>
          <w:tcPr>
            <w:tcW w:type="dxa" w:w="1440"/>
          </w:tcPr>
          <w:p>
            <w:r>
              <w:t>[Effective Date]</w:t>
            </w:r>
          </w:p>
        </w:tc>
        <w:tc>
          <w:tcPr>
            <w:tcW w:type="dxa" w:w="1440"/>
          </w:tcPr>
          <w:p>
            <w:r>
              <w:t>GDPR</w:t>
            </w:r>
          </w:p>
        </w:tc>
        <w:tc>
          <w:tcPr>
            <w:tcW w:type="dxa" w:w="1440"/>
          </w:tcPr>
          <w:p>
            <w:r>
              <w:t>Internal Confidential</w:t>
            </w:r>
          </w:p>
        </w:tc>
      </w:tr>
    </w:tbl>
    <w:p>
      <w:pPr>
        <w:pStyle w:val="Heading2"/>
      </w:pPr>
      <w:r>
        <w:t>Purpose</w:t>
      </w:r>
    </w:p>
    <w:p>
      <w:r>
        <w:t>This report provides the management body with an annual review of the organisation’s privacy programme, including the effectiveness of governance arrangements, progress against planned activities, key privacy risks, significant incidents, data subject rights performance, supplier oversight, training completion, and areas requiring management attention.</w:t>
      </w:r>
    </w:p>
    <w:p>
      <w:r>
        <w:t>The report is intended to support accountable oversight of personal data processing and to demonstrate that the organisation has maintained appropriate organisational and technical measures for the protection of personal data during the reporting period.</w:t>
      </w:r>
    </w:p>
    <w:p>
      <w:pPr>
        <w:pStyle w:val="Heading2"/>
      </w:pPr>
      <w:r>
        <w:t>Reporting Period &amp; Scope</w:t>
      </w:r>
    </w:p>
    <w:p>
      <w:r>
        <w:t>This report covers the period from [Start Date] to [End Date].</w:t>
      </w:r>
    </w:p>
    <w:p>
      <w:r>
        <w:t>The scope includes privacy and data protection activities across:</w:t>
      </w:r>
    </w:p>
    <w:p>
      <w:pPr>
        <w:pStyle w:val="ListBullet"/>
      </w:pPr>
      <w:r>
        <w:t>Corporate functions, including Human Resources, Finance, Legal, Marketing, Procurement, Information Security, and Customer Operations.</w:t>
      </w:r>
    </w:p>
    <w:p>
      <w:pPr>
        <w:pStyle w:val="ListBullet"/>
      </w:pPr>
      <w:r>
        <w:t>Business units processing customer, employee, supplier, partner, user, and prospect personal data.</w:t>
      </w:r>
    </w:p>
    <w:p>
      <w:pPr>
        <w:pStyle w:val="ListBullet"/>
      </w:pPr>
      <w:r>
        <w:t>Core systems and platforms used to collect, store, process, transfer, or delete personal data.</w:t>
      </w:r>
    </w:p>
    <w:p>
      <w:pPr>
        <w:pStyle w:val="ListBullet"/>
      </w:pPr>
      <w:r>
        <w:t>Third-party processors and service providers engaged to process personal data on behalf of the organisation.</w:t>
      </w:r>
    </w:p>
    <w:p>
      <w:pPr>
        <w:pStyle w:val="ListBullet"/>
      </w:pPr>
      <w:r>
        <w:t>Privacy governance activities, including records of processing, data protection impact assessments, privacy notices, consent and preference management, data subject rights, incident response, employee training, supplier due diligence, retention, and cross-border transfer controls.</w:t>
      </w:r>
    </w:p>
    <w:p>
      <w:r>
        <w:t>Out of scope for this report:</w:t>
      </w:r>
    </w:p>
    <w:p>
      <w:pPr>
        <w:pStyle w:val="ListBullet"/>
      </w:pPr>
      <w:r>
        <w:t>Detailed technical security testing results, except where directly relevant to privacy risk.</w:t>
      </w:r>
    </w:p>
    <w:p>
      <w:pPr>
        <w:pStyle w:val="ListBullet"/>
      </w:pPr>
      <w:r>
        <w:t>Financial audit conclusions, except where they affect privacy programme resourcing or control operation.</w:t>
      </w:r>
    </w:p>
    <w:p>
      <w:pPr>
        <w:pStyle w:val="ListBullet"/>
      </w:pPr>
      <w:r>
        <w:t>Legal privilege material relating to ongoing disputes, investigations, or regulatory matters, which is summarised only at a high level where appropriate.</w:t>
      </w:r>
    </w:p>
    <w:p>
      <w:r>
        <w:t>The report is based on information provided by the Privacy Office, Legal, Information Security, IT, Procurement, Human Resources, Marketing, Customer Operations, Product, and relevant business process owners.</w:t>
      </w:r>
    </w:p>
    <w:p>
      <w:pPr>
        <w:pStyle w:val="Heading2"/>
      </w:pPr>
      <w:r>
        <w:t>Executive Summary</w:t>
      </w:r>
    </w:p>
    <w:p>
      <w:r>
        <w:t>During the reporting period, the organisation maintained an operational privacy programme with defined governance, documented processing activities, a functioning data subject rights process, ongoing supplier privacy reviews, privacy training, and incident escalation procedures.</w:t>
      </w:r>
    </w:p>
    <w:p>
      <w:r>
        <w:t>Overall privacy maturity is assessed as [Developing / Established / Managed / Optimised]. The programme continues to support the organisation’s obligations to process personal data lawfully, fairly, transparently, securely, and only for appropriate business purposes. However, several areas require management attention to reduce operational risk and improve consistency across business units.</w:t>
      </w:r>
    </w:p>
    <w:p>
      <w:r>
        <w:t>Key achievements during the year included:</w:t>
      </w:r>
    </w:p>
    <w:p>
      <w:pPr>
        <w:pStyle w:val="ListBullet"/>
      </w:pPr>
      <w:r>
        <w:t>Completion of the annual review of records of processing activities for high-risk and business-critical processing.</w:t>
      </w:r>
    </w:p>
    <w:p>
      <w:pPr>
        <w:pStyle w:val="ListBullet"/>
      </w:pPr>
      <w:r>
        <w:t>Refresh of core privacy notices covering customers, employees, applicants, and website users.</w:t>
      </w:r>
    </w:p>
    <w:p>
      <w:pPr>
        <w:pStyle w:val="ListBullet"/>
      </w:pPr>
      <w:r>
        <w:t>Delivery of annual privacy training to in-scope employees, with targeted follow-up for late completion.</w:t>
      </w:r>
    </w:p>
    <w:p>
      <w:pPr>
        <w:pStyle w:val="ListBullet"/>
      </w:pPr>
      <w:r>
        <w:t>Implementation of improved intake and tracking for data subject rights requests.</w:t>
      </w:r>
    </w:p>
    <w:p>
      <w:pPr>
        <w:pStyle w:val="ListBullet"/>
      </w:pPr>
      <w:r>
        <w:t>Completion of privacy reviews for major new initiatives involving personal data.</w:t>
      </w:r>
    </w:p>
    <w:p>
      <w:pPr>
        <w:pStyle w:val="ListBullet"/>
      </w:pPr>
      <w:r>
        <w:t>Enhanced supplier due diligence for vendors processing sensitive or high-volume personal data.</w:t>
      </w:r>
    </w:p>
    <w:p>
      <w:pPr>
        <w:pStyle w:val="ListBullet"/>
      </w:pPr>
      <w:r>
        <w:t>Continued coordination between Privacy, Information Security, and Legal for incident triage and response.</w:t>
      </w:r>
    </w:p>
    <w:p>
      <w:r>
        <w:t>Key areas requiring improvement include:</w:t>
      </w:r>
    </w:p>
    <w:p>
      <w:pPr>
        <w:pStyle w:val="ListBullet"/>
      </w:pPr>
      <w:r>
        <w:t>Inconsistent evidence of business owner review for some processing records.</w:t>
      </w:r>
    </w:p>
    <w:p>
      <w:pPr>
        <w:pStyle w:val="ListBullet"/>
      </w:pPr>
      <w:r>
        <w:t>Gaps in retention implementation for legacy data repositories.</w:t>
      </w:r>
    </w:p>
    <w:p>
      <w:pPr>
        <w:pStyle w:val="ListBullet"/>
      </w:pPr>
      <w:r>
        <w:t>Delays in completion of supplier privacy reviews for medium-risk vendors.</w:t>
      </w:r>
    </w:p>
    <w:p>
      <w:pPr>
        <w:pStyle w:val="ListBullet"/>
      </w:pPr>
      <w:r>
        <w:t>Need for clearer business ownership of marketing preference management.</w:t>
      </w:r>
    </w:p>
    <w:p>
      <w:pPr>
        <w:pStyle w:val="ListBullet"/>
      </w:pPr>
      <w:r>
        <w:t>Limited privacy by design evidence in some project delivery records.</w:t>
      </w:r>
    </w:p>
    <w:p>
      <w:pPr>
        <w:pStyle w:val="ListBullet"/>
      </w:pPr>
      <w:r>
        <w:t>Variability in local process documentation across departments and regions.</w:t>
      </w:r>
    </w:p>
    <w:p>
      <w:r>
        <w:t>The most significant privacy risks identified for management attention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Area</w:t>
            </w:r>
          </w:p>
        </w:tc>
        <w:tc>
          <w:tcPr>
            <w:tcW w:type="dxa" w:w="2160"/>
          </w:tcPr>
          <w:p>
            <w:r>
              <w:t>Current Risk Level</w:t>
            </w:r>
          </w:p>
        </w:tc>
        <w:tc>
          <w:tcPr>
            <w:tcW w:type="dxa" w:w="2160"/>
          </w:tcPr>
          <w:p>
            <w:r>
              <w:t>Summary</w:t>
            </w:r>
          </w:p>
        </w:tc>
        <w:tc>
          <w:tcPr>
            <w:tcW w:type="dxa" w:w="2160"/>
          </w:tcPr>
          <w:p>
            <w:r>
              <w:t>Management Attention Required</w:t>
            </w:r>
          </w:p>
        </w:tc>
      </w:tr>
      <w:tr>
        <w:tc>
          <w:tcPr>
            <w:tcW w:type="dxa" w:w="2160"/>
          </w:tcPr>
          <w:p>
            <w:r>
              <w:t>Data retention and deletion</w:t>
            </w:r>
          </w:p>
        </w:tc>
        <w:tc>
          <w:tcPr>
            <w:tcW w:type="dxa" w:w="2160"/>
          </w:tcPr>
          <w:p>
            <w:r>
              <w:t>High</w:t>
            </w:r>
          </w:p>
        </w:tc>
        <w:tc>
          <w:tcPr>
            <w:tcW w:type="dxa" w:w="2160"/>
          </w:tcPr>
          <w:p>
            <w:r>
              <w:t>Retention rules are documented for major data classes, but implementation is inconsistent in some legacy systems and shared repositories.</w:t>
            </w:r>
          </w:p>
        </w:tc>
        <w:tc>
          <w:tcPr>
            <w:tcW w:type="dxa" w:w="2160"/>
          </w:tcPr>
          <w:p>
            <w:r>
              <w:t>Approve remediation plan, assign system owners, and fund deletion automation where needed.</w:t>
            </w:r>
          </w:p>
        </w:tc>
      </w:tr>
      <w:tr>
        <w:tc>
          <w:tcPr>
            <w:tcW w:type="dxa" w:w="2160"/>
          </w:tcPr>
          <w:p>
            <w:r>
              <w:t>Supplier privacy oversight</w:t>
            </w:r>
          </w:p>
        </w:tc>
        <w:tc>
          <w:tcPr>
            <w:tcW w:type="dxa" w:w="2160"/>
          </w:tcPr>
          <w:p>
            <w:r>
              <w:t>Medium-High</w:t>
            </w:r>
          </w:p>
        </w:tc>
        <w:tc>
          <w:tcPr>
            <w:tcW w:type="dxa" w:w="2160"/>
          </w:tcPr>
          <w:p>
            <w:r>
              <w:t>High-risk suppliers are reviewed, but medium-risk supplier reviews are not consistently completed before go-live.</w:t>
            </w:r>
          </w:p>
        </w:tc>
        <w:tc>
          <w:tcPr>
            <w:tcW w:type="dxa" w:w="2160"/>
          </w:tcPr>
          <w:p>
            <w:r>
              <w:t>Enforce procurement gating and require overdue review closure.</w:t>
            </w:r>
          </w:p>
        </w:tc>
      </w:tr>
      <w:tr>
        <w:tc>
          <w:tcPr>
            <w:tcW w:type="dxa" w:w="2160"/>
          </w:tcPr>
          <w:p>
            <w:r>
              <w:t>Privacy by design</w:t>
            </w:r>
          </w:p>
        </w:tc>
        <w:tc>
          <w:tcPr>
            <w:tcW w:type="dxa" w:w="2160"/>
          </w:tcPr>
          <w:p>
            <w:r>
              <w:t>Medium</w:t>
            </w:r>
          </w:p>
        </w:tc>
        <w:tc>
          <w:tcPr>
            <w:tcW w:type="dxa" w:w="2160"/>
          </w:tcPr>
          <w:p>
            <w:r>
              <w:t>Privacy input occurs for major projects, but evidence is inconsistent for smaller business-led changes.</w:t>
            </w:r>
          </w:p>
        </w:tc>
        <w:tc>
          <w:tcPr>
            <w:tcW w:type="dxa" w:w="2160"/>
          </w:tcPr>
          <w:p>
            <w:r>
              <w:t>Mandate privacy assessment at project intake and change management checkpoints.</w:t>
            </w:r>
          </w:p>
        </w:tc>
      </w:tr>
      <w:tr>
        <w:tc>
          <w:tcPr>
            <w:tcW w:type="dxa" w:w="2160"/>
          </w:tcPr>
          <w:p>
            <w:r>
              <w:t>Records of processing accuracy</w:t>
            </w:r>
          </w:p>
        </w:tc>
        <w:tc>
          <w:tcPr>
            <w:tcW w:type="dxa" w:w="2160"/>
          </w:tcPr>
          <w:p>
            <w:r>
              <w:t>Medium</w:t>
            </w:r>
          </w:p>
        </w:tc>
        <w:tc>
          <w:tcPr>
            <w:tcW w:type="dxa" w:w="2160"/>
          </w:tcPr>
          <w:p>
            <w:r>
              <w:t>Central inventory exists, but some records depend on annual attestations and may not reflect interim process changes.</w:t>
            </w:r>
          </w:p>
        </w:tc>
        <w:tc>
          <w:tcPr>
            <w:tcW w:type="dxa" w:w="2160"/>
          </w:tcPr>
          <w:p>
            <w:r>
              <w:t>Require quarterly updates for high-risk processes.</w:t>
            </w:r>
          </w:p>
        </w:tc>
      </w:tr>
      <w:tr>
        <w:tc>
          <w:tcPr>
            <w:tcW w:type="dxa" w:w="2160"/>
          </w:tcPr>
          <w:p>
            <w:r>
              <w:t>Data subject rights handling</w:t>
            </w:r>
          </w:p>
        </w:tc>
        <w:tc>
          <w:tcPr>
            <w:tcW w:type="dxa" w:w="2160"/>
          </w:tcPr>
          <w:p>
            <w:r>
              <w:t>Medium</w:t>
            </w:r>
          </w:p>
        </w:tc>
        <w:tc>
          <w:tcPr>
            <w:tcW w:type="dxa" w:w="2160"/>
          </w:tcPr>
          <w:p>
            <w:r>
              <w:t>Requests are tracked and generally completed on time, but dependency on system owners creates bottlenecks.</w:t>
            </w:r>
          </w:p>
        </w:tc>
        <w:tc>
          <w:tcPr>
            <w:tcW w:type="dxa" w:w="2160"/>
          </w:tcPr>
          <w:p>
            <w:r>
              <w:t>Improve response playbooks and system search procedures.</w:t>
            </w:r>
          </w:p>
        </w:tc>
      </w:tr>
    </w:tbl>
    <w:p>
      <w:r>
        <w:t>No confirmed material regulatory breach was identified during the reporting period, subject to final status of any open matters listed in this report. Privacy incidents were managed through established incident response processes and assessed for impact, containment, notification requirements, root cause, and corrective action.</w:t>
      </w:r>
    </w:p>
    <w:p>
      <w:r>
        <w:t>Management decisions requested:</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Required</w:t>
            </w:r>
          </w:p>
        </w:tc>
        <w:tc>
          <w:tcPr>
            <w:tcW w:type="dxa" w:w="2880"/>
          </w:tcPr>
          <w:p>
            <w:r>
              <w:t>Requested By</w:t>
            </w:r>
          </w:p>
        </w:tc>
        <w:tc>
          <w:tcPr>
            <w:tcW w:type="dxa" w:w="2880"/>
          </w:tcPr>
          <w:p>
            <w:r>
              <w:t>Rationale</w:t>
            </w:r>
          </w:p>
        </w:tc>
      </w:tr>
      <w:tr>
        <w:tc>
          <w:tcPr>
            <w:tcW w:type="dxa" w:w="2880"/>
          </w:tcPr>
          <w:p>
            <w:r>
              <w:t>Approve the privacy remediation action plan for the next reporting period</w:t>
            </w:r>
          </w:p>
        </w:tc>
        <w:tc>
          <w:tcPr>
            <w:tcW w:type="dxa" w:w="2880"/>
          </w:tcPr>
          <w:p>
            <w:r>
              <w:t>[Date]</w:t>
            </w:r>
          </w:p>
        </w:tc>
        <w:tc>
          <w:tcPr>
            <w:tcW w:type="dxa" w:w="2880"/>
          </w:tcPr>
          <w:p>
            <w:r>
              <w:t>Required to address retention, supplier oversight, and privacy by design gaps.</w:t>
            </w:r>
          </w:p>
        </w:tc>
      </w:tr>
      <w:tr>
        <w:tc>
          <w:tcPr>
            <w:tcW w:type="dxa" w:w="2880"/>
          </w:tcPr>
          <w:p>
            <w:r>
              <w:t>Confirm accountable business owners for high-risk processing activities</w:t>
            </w:r>
          </w:p>
        </w:tc>
        <w:tc>
          <w:tcPr>
            <w:tcW w:type="dxa" w:w="2880"/>
          </w:tcPr>
          <w:p>
            <w:r>
              <w:t>[Date]</w:t>
            </w:r>
          </w:p>
        </w:tc>
        <w:tc>
          <w:tcPr>
            <w:tcW w:type="dxa" w:w="2880"/>
          </w:tcPr>
          <w:p>
            <w:r>
              <w:t>Required to improve ownership and evidence of accountability.</w:t>
            </w:r>
          </w:p>
        </w:tc>
      </w:tr>
      <w:tr>
        <w:tc>
          <w:tcPr>
            <w:tcW w:type="dxa" w:w="2880"/>
          </w:tcPr>
          <w:p>
            <w:r>
              <w:t>Approve continued privacy training and awareness budget</w:t>
            </w:r>
          </w:p>
        </w:tc>
        <w:tc>
          <w:tcPr>
            <w:tcW w:type="dxa" w:w="2880"/>
          </w:tcPr>
          <w:p>
            <w:r>
              <w:t>[Date]</w:t>
            </w:r>
          </w:p>
        </w:tc>
        <w:tc>
          <w:tcPr>
            <w:tcW w:type="dxa" w:w="2880"/>
          </w:tcPr>
          <w:p>
            <w:r>
              <w:t>Required to maintain staff awareness and targeted role-based training.</w:t>
            </w:r>
          </w:p>
        </w:tc>
      </w:tr>
      <w:tr>
        <w:tc>
          <w:tcPr>
            <w:tcW w:type="dxa" w:w="2880"/>
          </w:tcPr>
          <w:p>
            <w:r>
              <w:t>Endorse procurement privacy review gating</w:t>
            </w:r>
          </w:p>
        </w:tc>
        <w:tc>
          <w:tcPr>
            <w:tcW w:type="dxa" w:w="2880"/>
          </w:tcPr>
          <w:p>
            <w:r>
              <w:t>[Date]</w:t>
            </w:r>
          </w:p>
        </w:tc>
        <w:tc>
          <w:tcPr>
            <w:tcW w:type="dxa" w:w="2880"/>
          </w:tcPr>
          <w:p>
            <w:r>
              <w:t>Required to prevent onboarding of processors before appropriate review.</w:t>
            </w:r>
          </w:p>
        </w:tc>
      </w:tr>
    </w:tbl>
    <w:p>
      <w:pPr>
        <w:pStyle w:val="Heading2"/>
      </w:pPr>
      <w:r>
        <w:t>Methodology</w:t>
      </w:r>
    </w:p>
    <w:p>
      <w:r>
        <w:t>This report was prepared using a combination of programme evidence review, management interviews, control performance metrics, sample testing, incident analysis, and review of privacy operational records.</w:t>
      </w:r>
    </w:p>
    <w:p>
      <w:r>
        <w:t>The following sources were used:</w:t>
      </w:r>
    </w:p>
    <w:p>
      <w:pPr>
        <w:pStyle w:val="ListBullet"/>
      </w:pPr>
      <w:r>
        <w:t>Privacy governance documents, including policies, standards, procedures, templates, and guidance.</w:t>
      </w:r>
    </w:p>
    <w:p>
      <w:pPr>
        <w:pStyle w:val="ListBullet"/>
      </w:pPr>
      <w:r>
        <w:t>Records of processing activities and related business owner attestations.</w:t>
      </w:r>
    </w:p>
    <w:p>
      <w:pPr>
        <w:pStyle w:val="ListBullet"/>
      </w:pPr>
      <w:r>
        <w:t>Data protection impact assessments and legitimate interest assessments completed during the period.</w:t>
      </w:r>
    </w:p>
    <w:p>
      <w:pPr>
        <w:pStyle w:val="ListBullet"/>
      </w:pPr>
      <w:r>
        <w:t>Data subject rights logs, response records, and fulfilment evidence.</w:t>
      </w:r>
    </w:p>
    <w:p>
      <w:pPr>
        <w:pStyle w:val="ListBullet"/>
      </w:pPr>
      <w:r>
        <w:t>Personal data breach and privacy incident logs.</w:t>
      </w:r>
    </w:p>
    <w:p>
      <w:pPr>
        <w:pStyle w:val="ListBullet"/>
      </w:pPr>
      <w:r>
        <w:t>Supplier due diligence records, data processing agreements, transfer assessments, and procurement records.</w:t>
      </w:r>
    </w:p>
    <w:p>
      <w:pPr>
        <w:pStyle w:val="ListBullet"/>
      </w:pPr>
      <w:r>
        <w:t>Privacy training completion reports and awareness campaign materials.</w:t>
      </w:r>
    </w:p>
    <w:p>
      <w:pPr>
        <w:pStyle w:val="ListBullet"/>
      </w:pPr>
      <w:r>
        <w:t>Internal audit, compliance, risk, and security reports relevant to personal data processing.</w:t>
      </w:r>
    </w:p>
    <w:p>
      <w:pPr>
        <w:pStyle w:val="ListBullet"/>
      </w:pPr>
      <w:r>
        <w:t>Project intake forms, change records, and product governance evidence.</w:t>
      </w:r>
    </w:p>
    <w:p>
      <w:pPr>
        <w:pStyle w:val="ListBullet"/>
      </w:pPr>
      <w:r>
        <w:t>Retention schedules and deletion evidence for selected systems.</w:t>
      </w:r>
    </w:p>
    <w:p>
      <w:pPr>
        <w:pStyle w:val="ListBullet"/>
      </w:pPr>
      <w:r>
        <w:t>Interviews and confirmations from Privacy, Legal, Information Security, IT, Procurement, HR, Marketing, Product, and operational business owners.</w:t>
      </w:r>
    </w:p>
    <w:p>
      <w:r>
        <w:t>The following review techniques were applied:</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Description</w:t>
            </w:r>
          </w:p>
        </w:tc>
        <w:tc>
          <w:tcPr>
            <w:tcW w:type="dxa" w:w="2880"/>
          </w:tcPr>
          <w:p>
            <w:r>
              <w:t>Coverage</w:t>
            </w:r>
          </w:p>
        </w:tc>
      </w:tr>
      <w:tr>
        <w:tc>
          <w:tcPr>
            <w:tcW w:type="dxa" w:w="2880"/>
          </w:tcPr>
          <w:p>
            <w:r>
              <w:t>Evidence review</w:t>
            </w:r>
          </w:p>
        </w:tc>
        <w:tc>
          <w:tcPr>
            <w:tcW w:type="dxa" w:w="2880"/>
          </w:tcPr>
          <w:p>
            <w:r>
              <w:t>Review of documented policies, procedures, logs, registers, assessments, and management reports.</w:t>
            </w:r>
          </w:p>
        </w:tc>
        <w:tc>
          <w:tcPr>
            <w:tcW w:type="dxa" w:w="2880"/>
          </w:tcPr>
          <w:p>
            <w:r>
              <w:t>Programme-wide</w:t>
            </w:r>
          </w:p>
        </w:tc>
      </w:tr>
      <w:tr>
        <w:tc>
          <w:tcPr>
            <w:tcW w:type="dxa" w:w="2880"/>
          </w:tcPr>
          <w:p>
            <w:r>
              <w:t>Sample testing</w:t>
            </w:r>
          </w:p>
        </w:tc>
        <w:tc>
          <w:tcPr>
            <w:tcW w:type="dxa" w:w="2880"/>
          </w:tcPr>
          <w:p>
            <w:r>
              <w:t>Testing selected processing records, rights requests, supplier files, incidents, and project assessments.</w:t>
            </w:r>
          </w:p>
        </w:tc>
        <w:tc>
          <w:tcPr>
            <w:tcW w:type="dxa" w:w="2880"/>
          </w:tcPr>
          <w:p>
            <w:r>
              <w:t>Risk-based sample</w:t>
            </w:r>
          </w:p>
        </w:tc>
      </w:tr>
      <w:tr>
        <w:tc>
          <w:tcPr>
            <w:tcW w:type="dxa" w:w="2880"/>
          </w:tcPr>
          <w:p>
            <w:r>
              <w:t>Interviews</w:t>
            </w:r>
          </w:p>
        </w:tc>
        <w:tc>
          <w:tcPr>
            <w:tcW w:type="dxa" w:w="2880"/>
          </w:tcPr>
          <w:p>
            <w:r>
              <w:t>Discussions with key control owners and business process owners.</w:t>
            </w:r>
          </w:p>
        </w:tc>
        <w:tc>
          <w:tcPr>
            <w:tcW w:type="dxa" w:w="2880"/>
          </w:tcPr>
          <w:p>
            <w:r>
              <w:t>Privacy, Legal, Security, IT, HR, Marketing, Procurement, Product</w:t>
            </w:r>
          </w:p>
        </w:tc>
      </w:tr>
      <w:tr>
        <w:tc>
          <w:tcPr>
            <w:tcW w:type="dxa" w:w="2880"/>
          </w:tcPr>
          <w:p>
            <w:r>
              <w:t>Metrics analysis</w:t>
            </w:r>
          </w:p>
        </w:tc>
        <w:tc>
          <w:tcPr>
            <w:tcW w:type="dxa" w:w="2880"/>
          </w:tcPr>
          <w:p>
            <w:r>
              <w:t>Analysis of timeliness, completion rates, volumes, trends, and overdue actions.</w:t>
            </w:r>
          </w:p>
        </w:tc>
        <w:tc>
          <w:tcPr>
            <w:tcW w:type="dxa" w:w="2880"/>
          </w:tcPr>
          <w:p>
            <w:r>
              <w:t>Annual reporting period</w:t>
            </w:r>
          </w:p>
        </w:tc>
      </w:tr>
      <w:tr>
        <w:tc>
          <w:tcPr>
            <w:tcW w:type="dxa" w:w="2880"/>
          </w:tcPr>
          <w:p>
            <w:r>
              <w:t>Risk assessment</w:t>
            </w:r>
          </w:p>
        </w:tc>
        <w:tc>
          <w:tcPr>
            <w:tcW w:type="dxa" w:w="2880"/>
          </w:tcPr>
          <w:p>
            <w:r>
              <w:t>Evaluation of likelihood, impact, control effectiveness, and residual risk.</w:t>
            </w:r>
          </w:p>
        </w:tc>
        <w:tc>
          <w:tcPr>
            <w:tcW w:type="dxa" w:w="2880"/>
          </w:tcPr>
          <w:p>
            <w:r>
              <w:t>Key privacy risk areas</w:t>
            </w:r>
          </w:p>
        </w:tc>
      </w:tr>
      <w:tr>
        <w:tc>
          <w:tcPr>
            <w:tcW w:type="dxa" w:w="2880"/>
          </w:tcPr>
          <w:p>
            <w:r>
              <w:t>Action tracking</w:t>
            </w:r>
          </w:p>
        </w:tc>
        <w:tc>
          <w:tcPr>
            <w:tcW w:type="dxa" w:w="2880"/>
          </w:tcPr>
          <w:p>
            <w:r>
              <w:t>Review of prior-year findings, audit actions, remediation plans, and closure evidence.</w:t>
            </w:r>
          </w:p>
        </w:tc>
        <w:tc>
          <w:tcPr>
            <w:tcW w:type="dxa" w:w="2880"/>
          </w:tcPr>
          <w:p>
            <w:r>
              <w:t>Open and closed actions</w:t>
            </w:r>
          </w:p>
        </w:tc>
      </w:tr>
    </w:tbl>
    <w:p>
      <w:r>
        <w:t>Sample sizes were selected based on risk, processing volume, sensitivity of personal data, system criticality, and known issues. The review did not constitute a forensic investigation or full legal assessment of each processing activity. Findings are based on available evidence at the time of reporting.</w:t>
      </w:r>
    </w:p>
    <w:p>
      <w:pPr>
        <w:pStyle w:val="Heading2"/>
      </w:pPr>
      <w:r>
        <w:t>Detailed Findings / Results (with structure)</w:t>
      </w:r>
    </w:p>
    <w:p>
      <w:pPr>
        <w:pStyle w:val="Heading3"/>
      </w:pPr>
      <w:r>
        <w:t>1. Privacy Governance and Accountability</w:t>
      </w:r>
    </w:p>
    <w:p>
      <w:r>
        <w:t>The organisation has an established privacy governance model led by the Data Protection Officer / Privacy Office, with support from Legal, Information Security, Procurement, IT, HR, Marketing, and business process owners.</w:t>
      </w:r>
    </w:p>
    <w:p>
      <w:r>
        <w:t>Key governance activities completed during the reporting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Status</w:t>
            </w:r>
          </w:p>
        </w:tc>
        <w:tc>
          <w:tcPr>
            <w:tcW w:type="dxa" w:w="2160"/>
          </w:tcPr>
          <w:p>
            <w:r>
              <w:t>Evidence Reviewed</w:t>
            </w:r>
          </w:p>
        </w:tc>
        <w:tc>
          <w:tcPr>
            <w:tcW w:type="dxa" w:w="2160"/>
          </w:tcPr>
          <w:p>
            <w:r>
              <w:t>Comments</w:t>
            </w:r>
          </w:p>
        </w:tc>
      </w:tr>
      <w:tr>
        <w:tc>
          <w:tcPr>
            <w:tcW w:type="dxa" w:w="2160"/>
          </w:tcPr>
          <w:p>
            <w:r>
              <w:t>Annual privacy programme plan</w:t>
            </w:r>
          </w:p>
        </w:tc>
        <w:tc>
          <w:tcPr>
            <w:tcW w:type="dxa" w:w="2160"/>
          </w:tcPr>
          <w:p>
            <w:r>
              <w:t>Completed</w:t>
            </w:r>
          </w:p>
        </w:tc>
        <w:tc>
          <w:tcPr>
            <w:tcW w:type="dxa" w:w="2160"/>
          </w:tcPr>
          <w:p>
            <w:r>
              <w:t>Privacy roadmap, steering updates</w:t>
            </w:r>
          </w:p>
        </w:tc>
        <w:tc>
          <w:tcPr>
            <w:tcW w:type="dxa" w:w="2160"/>
          </w:tcPr>
          <w:p>
            <w:r>
              <w:t>Plan covered governance, training, assessments, supplier oversight, and retention activities.</w:t>
            </w:r>
          </w:p>
        </w:tc>
      </w:tr>
      <w:tr>
        <w:tc>
          <w:tcPr>
            <w:tcW w:type="dxa" w:w="2160"/>
          </w:tcPr>
          <w:p>
            <w:r>
              <w:t>Management reporting</w:t>
            </w:r>
          </w:p>
        </w:tc>
        <w:tc>
          <w:tcPr>
            <w:tcW w:type="dxa" w:w="2160"/>
          </w:tcPr>
          <w:p>
            <w:r>
              <w:t>Partially completed</w:t>
            </w:r>
          </w:p>
        </w:tc>
        <w:tc>
          <w:tcPr>
            <w:tcW w:type="dxa" w:w="2160"/>
          </w:tcPr>
          <w:p>
            <w:r>
              <w:t>Quarterly updates, risk committee papers</w:t>
            </w:r>
          </w:p>
        </w:tc>
        <w:tc>
          <w:tcPr>
            <w:tcW w:type="dxa" w:w="2160"/>
          </w:tcPr>
          <w:p>
            <w:r>
              <w:t>Reporting occurred, but some updates lacked consistent risk scoring and action ownership.</w:t>
            </w:r>
          </w:p>
        </w:tc>
      </w:tr>
      <w:tr>
        <w:tc>
          <w:tcPr>
            <w:tcW w:type="dxa" w:w="2160"/>
          </w:tcPr>
          <w:p>
            <w:r>
              <w:t>Privacy policy review</w:t>
            </w:r>
          </w:p>
        </w:tc>
        <w:tc>
          <w:tcPr>
            <w:tcW w:type="dxa" w:w="2160"/>
          </w:tcPr>
          <w:p>
            <w:r>
              <w:t>Completed</w:t>
            </w:r>
          </w:p>
        </w:tc>
        <w:tc>
          <w:tcPr>
            <w:tcW w:type="dxa" w:w="2160"/>
          </w:tcPr>
          <w:p>
            <w:r>
              <w:t>Approved policy versions</w:t>
            </w:r>
          </w:p>
        </w:tc>
        <w:tc>
          <w:tcPr>
            <w:tcW w:type="dxa" w:w="2160"/>
          </w:tcPr>
          <w:p>
            <w:r>
              <w:t>Core privacy policies were reviewed and updated where necessary.</w:t>
            </w:r>
          </w:p>
        </w:tc>
      </w:tr>
      <w:tr>
        <w:tc>
          <w:tcPr>
            <w:tcW w:type="dxa" w:w="2160"/>
          </w:tcPr>
          <w:p>
            <w:r>
              <w:t>Business owner attestations</w:t>
            </w:r>
          </w:p>
        </w:tc>
        <w:tc>
          <w:tcPr>
            <w:tcW w:type="dxa" w:w="2160"/>
          </w:tcPr>
          <w:p>
            <w:r>
              <w:t>Partially completed</w:t>
            </w:r>
          </w:p>
        </w:tc>
        <w:tc>
          <w:tcPr>
            <w:tcW w:type="dxa" w:w="2160"/>
          </w:tcPr>
          <w:p>
            <w:r>
              <w:t>Processing owner confirmations</w:t>
            </w:r>
          </w:p>
        </w:tc>
        <w:tc>
          <w:tcPr>
            <w:tcW w:type="dxa" w:w="2160"/>
          </w:tcPr>
          <w:p>
            <w:r>
              <w:t>High-risk areas were covered; some lower-risk departments did not respond by deadline.</w:t>
            </w:r>
          </w:p>
        </w:tc>
      </w:tr>
      <w:tr>
        <w:tc>
          <w:tcPr>
            <w:tcW w:type="dxa" w:w="2160"/>
          </w:tcPr>
          <w:p>
            <w:r>
              <w:t>Privacy risk register review</w:t>
            </w:r>
          </w:p>
        </w:tc>
        <w:tc>
          <w:tcPr>
            <w:tcW w:type="dxa" w:w="2160"/>
          </w:tcPr>
          <w:p>
            <w:r>
              <w:t>Completed</w:t>
            </w:r>
          </w:p>
        </w:tc>
        <w:tc>
          <w:tcPr>
            <w:tcW w:type="dxa" w:w="2160"/>
          </w:tcPr>
          <w:p>
            <w:r>
              <w:t>Privacy risk register</w:t>
            </w:r>
          </w:p>
        </w:tc>
        <w:tc>
          <w:tcPr>
            <w:tcW w:type="dxa" w:w="2160"/>
          </w:tcPr>
          <w:p>
            <w:r>
              <w:t>Risks were reviewed and updated, but target dates should be strengthened for overdue items.</w:t>
            </w:r>
          </w:p>
        </w:tc>
      </w:tr>
    </w:tbl>
    <w:p>
      <w:r>
        <w:t>Findings:</w:t>
      </w:r>
    </w:p>
    <w:p>
      <w:pPr>
        <w:pStyle w:val="ListBullet"/>
      </w:pPr>
      <w:r>
        <w:t>Privacy roles and responsibilities are documented, but operational understanding varies across departments.</w:t>
      </w:r>
    </w:p>
    <w:p>
      <w:pPr>
        <w:pStyle w:val="ListBullet"/>
      </w:pPr>
      <w:r>
        <w:t>The Privacy Office is regularly consulted on high-risk initiatives, but some business-led process changes are still identified late.</w:t>
      </w:r>
    </w:p>
    <w:p>
      <w:pPr>
        <w:pStyle w:val="ListBullet"/>
      </w:pPr>
      <w:r>
        <w:t>Privacy risks are tracked, but escalation thresholds and reporting formats should be standardised.</w:t>
      </w:r>
    </w:p>
    <w:p>
      <w:pPr>
        <w:pStyle w:val="ListBullet"/>
      </w:pPr>
      <w:r>
        <w:t>Management oversight is in place, although reporting would benefit from clearer trend analysis and action ageing.</w:t>
      </w:r>
    </w:p>
    <w:p>
      <w:r>
        <w:t>Assessment: Generally effective, with improvements required in consistency and evidence quality.</w:t>
      </w:r>
    </w:p>
    <w:p>
      <w:pPr>
        <w:pStyle w:val="Heading3"/>
      </w:pPr>
      <w:r>
        <w:t>2. Records of Processing Activities</w:t>
      </w:r>
    </w:p>
    <w:p>
      <w:r>
        <w:t>The organisation maintains a central inventory of personal data processing activities. The inventory captures processing purpose, categories of personal data, data subjects, systems, business owners, recipients, retention periods, lawful basis, international transfers, and supplier involvement.</w:t>
      </w:r>
    </w:p>
    <w:p>
      <w:r>
        <w:t>Annual review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 Reviewed</w:t>
            </w:r>
          </w:p>
        </w:tc>
        <w:tc>
          <w:tcPr>
            <w:tcW w:type="dxa" w:w="1728"/>
          </w:tcPr>
          <w:p>
            <w:r>
              <w:t>Total in Scope</w:t>
            </w:r>
          </w:p>
        </w:tc>
        <w:tc>
          <w:tcPr>
            <w:tcW w:type="dxa" w:w="1728"/>
          </w:tcPr>
          <w:p>
            <w:r>
              <w:t>Reviewed</w:t>
            </w:r>
          </w:p>
        </w:tc>
        <w:tc>
          <w:tcPr>
            <w:tcW w:type="dxa" w:w="1728"/>
          </w:tcPr>
          <w:p>
            <w:r>
              <w:t>Updated</w:t>
            </w:r>
          </w:p>
        </w:tc>
        <w:tc>
          <w:tcPr>
            <w:tcW w:type="dxa" w:w="1728"/>
          </w:tcPr>
          <w:p>
            <w:r>
              <w:t>Overdue / Not Confirmed</w:t>
            </w:r>
          </w:p>
        </w:tc>
      </w:tr>
      <w:tr>
        <w:tc>
          <w:tcPr>
            <w:tcW w:type="dxa" w:w="1728"/>
          </w:tcPr>
          <w:p>
            <w:r>
              <w:t>Customer processing activities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Employee and applicant processing activities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Marketing and analytics processing</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Supplier and partner processing</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Product and platform processing</w:t>
            </w:r>
          </w:p>
        </w:tc>
        <w:tc>
          <w:tcPr>
            <w:tcW w:type="dxa" w:w="1728"/>
          </w:tcPr>
          <w:p>
            <w:r>
              <w:t>[Number]</w:t>
            </w:r>
          </w:p>
        </w:tc>
        <w:tc>
          <w:tcPr>
            <w:tcW w:type="dxa" w:w="1728"/>
          </w:tcPr>
          <w:p>
            <w:r>
              <w:t>[Number]</w:t>
            </w:r>
          </w:p>
        </w:tc>
        <w:tc>
          <w:tcPr>
            <w:tcW w:type="dxa" w:w="1728"/>
          </w:tcPr>
          <w:p>
            <w:r>
              <w:t>[Number]</w:t>
            </w:r>
          </w:p>
        </w:tc>
        <w:tc>
          <w:tcPr>
            <w:tcW w:type="dxa" w:w="1728"/>
          </w:tcPr>
          <w:p>
            <w:r>
              <w:t>[Number]</w:t>
            </w:r>
          </w:p>
        </w:tc>
      </w:tr>
    </w:tbl>
    <w:p>
      <w:r>
        <w:t>Findings:</w:t>
      </w:r>
    </w:p>
    <w:p>
      <w:pPr>
        <w:pStyle w:val="ListBullet"/>
      </w:pPr>
      <w:r>
        <w:t>The central inventory is in place and covers the major processing activities reviewed.</w:t>
      </w:r>
    </w:p>
    <w:p>
      <w:pPr>
        <w:pStyle w:val="ListBullet"/>
      </w:pPr>
      <w:r>
        <w:t>Several records were improved during the year to clarify purposes, system dependencies, and supplier involvement.</w:t>
      </w:r>
    </w:p>
    <w:p>
      <w:pPr>
        <w:pStyle w:val="ListBullet"/>
      </w:pPr>
      <w:r>
        <w:t>Some entries contained outdated retention periods or incomplete international transfer details.</w:t>
      </w:r>
    </w:p>
    <w:p>
      <w:pPr>
        <w:pStyle w:val="ListBullet"/>
      </w:pPr>
      <w:r>
        <w:t>Business owner confirmation was not consistently completed for all records by the reporting deadline.</w:t>
      </w:r>
    </w:p>
    <w:p>
      <w:pPr>
        <w:pStyle w:val="ListBullet"/>
      </w:pPr>
      <w:r>
        <w:t>Change management processes do not always trigger timely updates to the inventory.</w:t>
      </w:r>
    </w:p>
    <w:p>
      <w:r>
        <w:t>Assessment: Operational, but requires stronger linkage to business change and periodic owner attestation.</w:t>
      </w:r>
    </w:p>
    <w:p>
      <w:pPr>
        <w:pStyle w:val="Heading3"/>
      </w:pPr>
      <w:r>
        <w:t>3. Lawful, Fair, and Transparent Processing</w:t>
      </w:r>
    </w:p>
    <w:p>
      <w:r>
        <w:t>The organisation has documented the lawful basis or appropriate processing condition for key processing activities. Privacy notices are maintained for major data subject groups and are published or provided through appropriate channels.</w:t>
      </w:r>
    </w:p>
    <w:p>
      <w:r>
        <w:t>Privacy notice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Notice</w:t>
            </w:r>
          </w:p>
        </w:tc>
        <w:tc>
          <w:tcPr>
            <w:tcW w:type="dxa" w:w="2160"/>
          </w:tcPr>
          <w:p>
            <w:r>
              <w:t>Status</w:t>
            </w:r>
          </w:p>
        </w:tc>
        <w:tc>
          <w:tcPr>
            <w:tcW w:type="dxa" w:w="2160"/>
          </w:tcPr>
          <w:p>
            <w:r>
              <w:t>Last Reviewed</w:t>
            </w:r>
          </w:p>
        </w:tc>
        <w:tc>
          <w:tcPr>
            <w:tcW w:type="dxa" w:w="2160"/>
          </w:tcPr>
          <w:p>
            <w:r>
              <w:t>Key Changes</w:t>
            </w:r>
          </w:p>
        </w:tc>
      </w:tr>
      <w:tr>
        <w:tc>
          <w:tcPr>
            <w:tcW w:type="dxa" w:w="2160"/>
          </w:tcPr>
          <w:p>
            <w:r>
              <w:t>Customer privacy notice</w:t>
            </w:r>
          </w:p>
        </w:tc>
        <w:tc>
          <w:tcPr>
            <w:tcW w:type="dxa" w:w="2160"/>
          </w:tcPr>
          <w:p>
            <w:r>
              <w:t>Updated</w:t>
            </w:r>
          </w:p>
        </w:tc>
        <w:tc>
          <w:tcPr>
            <w:tcW w:type="dxa" w:w="2160"/>
          </w:tcPr>
          <w:p>
            <w:r>
              <w:t>[Date]</w:t>
            </w:r>
          </w:p>
        </w:tc>
        <w:tc>
          <w:tcPr>
            <w:tcW w:type="dxa" w:w="2160"/>
          </w:tcPr>
          <w:p>
            <w:r>
              <w:t>Clarified analytics, service communications, and third-party recipients.</w:t>
            </w:r>
          </w:p>
        </w:tc>
      </w:tr>
      <w:tr>
        <w:tc>
          <w:tcPr>
            <w:tcW w:type="dxa" w:w="2160"/>
          </w:tcPr>
          <w:p>
            <w:r>
              <w:t>Employee privacy notice</w:t>
            </w:r>
          </w:p>
        </w:tc>
        <w:tc>
          <w:tcPr>
            <w:tcW w:type="dxa" w:w="2160"/>
          </w:tcPr>
          <w:p>
            <w:r>
              <w:t>Updated</w:t>
            </w:r>
          </w:p>
        </w:tc>
        <w:tc>
          <w:tcPr>
            <w:tcW w:type="dxa" w:w="2160"/>
          </w:tcPr>
          <w:p>
            <w:r>
              <w:t>[Date]</w:t>
            </w:r>
          </w:p>
        </w:tc>
        <w:tc>
          <w:tcPr>
            <w:tcW w:type="dxa" w:w="2160"/>
          </w:tcPr>
          <w:p>
            <w:r>
              <w:t>Added detail on monitoring, HR systems, and retention.</w:t>
            </w:r>
          </w:p>
        </w:tc>
      </w:tr>
      <w:tr>
        <w:tc>
          <w:tcPr>
            <w:tcW w:type="dxa" w:w="2160"/>
          </w:tcPr>
          <w:p>
            <w:r>
              <w:t>Applicant privacy notice</w:t>
            </w:r>
          </w:p>
        </w:tc>
        <w:tc>
          <w:tcPr>
            <w:tcW w:type="dxa" w:w="2160"/>
          </w:tcPr>
          <w:p>
            <w:r>
              <w:t>Updated</w:t>
            </w:r>
          </w:p>
        </w:tc>
        <w:tc>
          <w:tcPr>
            <w:tcW w:type="dxa" w:w="2160"/>
          </w:tcPr>
          <w:p>
            <w:r>
              <w:t>[Date]</w:t>
            </w:r>
          </w:p>
        </w:tc>
        <w:tc>
          <w:tcPr>
            <w:tcW w:type="dxa" w:w="2160"/>
          </w:tcPr>
          <w:p>
            <w:r>
              <w:t>Clarified background checks and recruitment platform processing.</w:t>
            </w:r>
          </w:p>
        </w:tc>
      </w:tr>
      <w:tr>
        <w:tc>
          <w:tcPr>
            <w:tcW w:type="dxa" w:w="2160"/>
          </w:tcPr>
          <w:p>
            <w:r>
              <w:t>Website privacy notice</w:t>
            </w:r>
          </w:p>
        </w:tc>
        <w:tc>
          <w:tcPr>
            <w:tcW w:type="dxa" w:w="2160"/>
          </w:tcPr>
          <w:p>
            <w:r>
              <w:t>Updated</w:t>
            </w:r>
          </w:p>
        </w:tc>
        <w:tc>
          <w:tcPr>
            <w:tcW w:type="dxa" w:w="2160"/>
          </w:tcPr>
          <w:p>
            <w:r>
              <w:t>[Date]</w:t>
            </w:r>
          </w:p>
        </w:tc>
        <w:tc>
          <w:tcPr>
            <w:tcW w:type="dxa" w:w="2160"/>
          </w:tcPr>
          <w:p>
            <w:r>
              <w:t>Aligned cookie and tracking information with current tools.</w:t>
            </w:r>
          </w:p>
        </w:tc>
      </w:tr>
      <w:tr>
        <w:tc>
          <w:tcPr>
            <w:tcW w:type="dxa" w:w="2160"/>
          </w:tcPr>
          <w:p>
            <w:r>
              <w:t>Supplier contact privacy notice</w:t>
            </w:r>
          </w:p>
        </w:tc>
        <w:tc>
          <w:tcPr>
            <w:tcW w:type="dxa" w:w="2160"/>
          </w:tcPr>
          <w:p>
            <w:r>
              <w:t>Reviewed</w:t>
            </w:r>
          </w:p>
        </w:tc>
        <w:tc>
          <w:tcPr>
            <w:tcW w:type="dxa" w:w="2160"/>
          </w:tcPr>
          <w:p>
            <w:r>
              <w:t>[Date]</w:t>
            </w:r>
          </w:p>
        </w:tc>
        <w:tc>
          <w:tcPr>
            <w:tcW w:type="dxa" w:w="2160"/>
          </w:tcPr>
          <w:p>
            <w:r>
              <w:t>No material changes required.</w:t>
            </w:r>
          </w:p>
        </w:tc>
      </w:tr>
    </w:tbl>
    <w:p>
      <w:r>
        <w:t>Findings:</w:t>
      </w:r>
    </w:p>
    <w:p>
      <w:pPr>
        <w:pStyle w:val="ListBullet"/>
      </w:pPr>
      <w:r>
        <w:t>Privacy notices are generally clear, accessible, and aligned to major processing activities.</w:t>
      </w:r>
    </w:p>
    <w:p>
      <w:pPr>
        <w:pStyle w:val="ListBullet"/>
      </w:pPr>
      <w:r>
        <w:t>Product and service teams should continue to involve Privacy before introducing new data collection points.</w:t>
      </w:r>
    </w:p>
    <w:p>
      <w:pPr>
        <w:pStyle w:val="ListBullet"/>
      </w:pPr>
      <w:r>
        <w:t>Marketing preference language is present but ownership of end-to-end preference governance requires clarification.</w:t>
      </w:r>
    </w:p>
    <w:p>
      <w:pPr>
        <w:pStyle w:val="ListBullet"/>
      </w:pPr>
      <w:r>
        <w:t>Some internal process documents refer to older versions of privacy notices and need updating.</w:t>
      </w:r>
    </w:p>
    <w:p>
      <w:r>
        <w:t>Assessment: Generally effective, with targeted improvement required for marketing preference governance and document alignment.</w:t>
      </w:r>
    </w:p>
    <w:p>
      <w:pPr>
        <w:pStyle w:val="Heading3"/>
      </w:pPr>
      <w:r>
        <w:t>4. Privacy by Design and Data Protection Impact Assessments</w:t>
      </w:r>
    </w:p>
    <w:p>
      <w:r>
        <w:t>Privacy input was provided for new projects, system changes, product launches, supplier onboardings, and business initiatives involving personal data. Formal assessments were completed where processing presented higher privacy risk.</w:t>
      </w:r>
    </w:p>
    <w:p>
      <w:r>
        <w:t>Assessment activity: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Assessment Type</w:t>
            </w:r>
          </w:p>
        </w:tc>
        <w:tc>
          <w:tcPr>
            <w:tcW w:type="dxa" w:w="1728"/>
          </w:tcPr>
          <w:p>
            <w:r>
              <w:t>Completed</w:t>
            </w:r>
          </w:p>
        </w:tc>
        <w:tc>
          <w:tcPr>
            <w:tcW w:type="dxa" w:w="1728"/>
          </w:tcPr>
          <w:p>
            <w:r>
              <w:t>In Progress</w:t>
            </w:r>
          </w:p>
        </w:tc>
        <w:tc>
          <w:tcPr>
            <w:tcW w:type="dxa" w:w="1728"/>
          </w:tcPr>
          <w:p>
            <w:r>
              <w:t>Not Required After Screening</w:t>
            </w:r>
          </w:p>
        </w:tc>
        <w:tc>
          <w:tcPr>
            <w:tcW w:type="dxa" w:w="1728"/>
          </w:tcPr>
          <w:p>
            <w:r>
              <w:t>Overdue</w:t>
            </w:r>
          </w:p>
        </w:tc>
      </w:tr>
      <w:tr>
        <w:tc>
          <w:tcPr>
            <w:tcW w:type="dxa" w:w="1728"/>
          </w:tcPr>
          <w:p>
            <w:r>
              <w:t>Initial privacy screenings</w:t>
            </w:r>
          </w:p>
        </w:tc>
        <w:tc>
          <w:tcPr>
            <w:tcW w:type="dxa" w:w="1728"/>
          </w:tcPr>
          <w:p>
            <w:r>
              <w:t>[Number]</w:t>
            </w:r>
          </w:p>
        </w:tc>
        <w:tc>
          <w:tcPr>
            <w:tcW w:type="dxa" w:w="1728"/>
          </w:tcPr>
          <w:p>
            <w:r>
              <w:t>[Number]</w:t>
            </w:r>
          </w:p>
        </w:tc>
        <w:tc>
          <w:tcPr>
            <w:tcW w:type="dxa" w:w="1728"/>
          </w:tcPr>
          <w:p>
            <w:r>
              <w:t>[Number]</w:t>
            </w:r>
          </w:p>
        </w:tc>
        <w:tc>
          <w:tcPr>
            <w:tcW w:type="dxa" w:w="1728"/>
          </w:tcPr>
          <w:p>
            <w:r>
              <w:t>[Number]</w:t>
            </w:r>
          </w:p>
        </w:tc>
      </w:tr>
      <w:tr>
        <w:tc>
          <w:tcPr>
            <w:tcW w:type="dxa" w:w="1728"/>
          </w:tcPr>
          <w:p>
            <w:r>
              <w:t>Data protection impact assessments</w:t>
            </w:r>
          </w:p>
        </w:tc>
        <w:tc>
          <w:tcPr>
            <w:tcW w:type="dxa" w:w="1728"/>
          </w:tcPr>
          <w:p>
            <w:r>
              <w:t>[Number]</w:t>
            </w:r>
          </w:p>
        </w:tc>
        <w:tc>
          <w:tcPr>
            <w:tcW w:type="dxa" w:w="1728"/>
          </w:tcPr>
          <w:p>
            <w:r>
              <w:t>[Number]</w:t>
            </w:r>
          </w:p>
        </w:tc>
        <w:tc>
          <w:tcPr>
            <w:tcW w:type="dxa" w:w="1728"/>
          </w:tcPr>
          <w:p>
            <w:r>
              <w:t>N/A</w:t>
            </w:r>
          </w:p>
        </w:tc>
        <w:tc>
          <w:tcPr>
            <w:tcW w:type="dxa" w:w="1728"/>
          </w:tcPr>
          <w:p>
            <w:r>
              <w:t>[Number]</w:t>
            </w:r>
          </w:p>
        </w:tc>
      </w:tr>
      <w:tr>
        <w:tc>
          <w:tcPr>
            <w:tcW w:type="dxa" w:w="1728"/>
          </w:tcPr>
          <w:p>
            <w:r>
              <w:t>Legitimate interest assessments</w:t>
            </w:r>
          </w:p>
        </w:tc>
        <w:tc>
          <w:tcPr>
            <w:tcW w:type="dxa" w:w="1728"/>
          </w:tcPr>
          <w:p>
            <w:r>
              <w:t>[Number]</w:t>
            </w:r>
          </w:p>
        </w:tc>
        <w:tc>
          <w:tcPr>
            <w:tcW w:type="dxa" w:w="1728"/>
          </w:tcPr>
          <w:p>
            <w:r>
              <w:t>[Number]</w:t>
            </w:r>
          </w:p>
        </w:tc>
        <w:tc>
          <w:tcPr>
            <w:tcW w:type="dxa" w:w="1728"/>
          </w:tcPr>
          <w:p>
            <w:r>
              <w:t>N/A</w:t>
            </w:r>
          </w:p>
        </w:tc>
        <w:tc>
          <w:tcPr>
            <w:tcW w:type="dxa" w:w="1728"/>
          </w:tcPr>
          <w:p>
            <w:r>
              <w:t>[Number]</w:t>
            </w:r>
          </w:p>
        </w:tc>
      </w:tr>
      <w:tr>
        <w:tc>
          <w:tcPr>
            <w:tcW w:type="dxa" w:w="1728"/>
          </w:tcPr>
          <w:p>
            <w:r>
              <w:t>Transfer risk assessments</w:t>
            </w:r>
          </w:p>
        </w:tc>
        <w:tc>
          <w:tcPr>
            <w:tcW w:type="dxa" w:w="1728"/>
          </w:tcPr>
          <w:p>
            <w:r>
              <w:t>[Number]</w:t>
            </w:r>
          </w:p>
        </w:tc>
        <w:tc>
          <w:tcPr>
            <w:tcW w:type="dxa" w:w="1728"/>
          </w:tcPr>
          <w:p>
            <w:r>
              <w:t>[Number]</w:t>
            </w:r>
          </w:p>
        </w:tc>
        <w:tc>
          <w:tcPr>
            <w:tcW w:type="dxa" w:w="1728"/>
          </w:tcPr>
          <w:p>
            <w:r>
              <w:t>N/A</w:t>
            </w:r>
          </w:p>
        </w:tc>
        <w:tc>
          <w:tcPr>
            <w:tcW w:type="dxa" w:w="1728"/>
          </w:tcPr>
          <w:p>
            <w:r>
              <w:t>[Number]</w:t>
            </w:r>
          </w:p>
        </w:tc>
      </w:tr>
      <w:tr>
        <w:tc>
          <w:tcPr>
            <w:tcW w:type="dxa" w:w="1728"/>
          </w:tcPr>
          <w:p>
            <w:r>
              <w:t>Project privacy reviews</w:t>
            </w:r>
          </w:p>
        </w:tc>
        <w:tc>
          <w:tcPr>
            <w:tcW w:type="dxa" w:w="1728"/>
          </w:tcPr>
          <w:p>
            <w:r>
              <w:t>[Number]</w:t>
            </w:r>
          </w:p>
        </w:tc>
        <w:tc>
          <w:tcPr>
            <w:tcW w:type="dxa" w:w="1728"/>
          </w:tcPr>
          <w:p>
            <w:r>
              <w:t>[Number]</w:t>
            </w:r>
          </w:p>
        </w:tc>
        <w:tc>
          <w:tcPr>
            <w:tcW w:type="dxa" w:w="1728"/>
          </w:tcPr>
          <w:p>
            <w:r>
              <w:t>[Number]</w:t>
            </w:r>
          </w:p>
        </w:tc>
        <w:tc>
          <w:tcPr>
            <w:tcW w:type="dxa" w:w="1728"/>
          </w:tcPr>
          <w:p>
            <w:r>
              <w:t>[Number]</w:t>
            </w:r>
          </w:p>
        </w:tc>
      </w:tr>
    </w:tbl>
    <w:p>
      <w:r>
        <w:t>Examples of initiatives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Initiative</w:t>
            </w:r>
          </w:p>
        </w:tc>
        <w:tc>
          <w:tcPr>
            <w:tcW w:type="dxa" w:w="2880"/>
          </w:tcPr>
          <w:p>
            <w:r>
              <w:t>Privacy Involvement</w:t>
            </w:r>
          </w:p>
        </w:tc>
        <w:tc>
          <w:tcPr>
            <w:tcW w:type="dxa" w:w="2880"/>
          </w:tcPr>
          <w:p>
            <w:r>
              <w:t>Outcome</w:t>
            </w:r>
          </w:p>
        </w:tc>
      </w:tr>
      <w:tr>
        <w:tc>
          <w:tcPr>
            <w:tcW w:type="dxa" w:w="2880"/>
          </w:tcPr>
          <w:p>
            <w:r>
              <w:t>[Customer analytics platform]</w:t>
            </w:r>
          </w:p>
        </w:tc>
        <w:tc>
          <w:tcPr>
            <w:tcW w:type="dxa" w:w="2880"/>
          </w:tcPr>
          <w:p>
            <w:r>
              <w:t>Formal assessment completed</w:t>
            </w:r>
          </w:p>
        </w:tc>
        <w:tc>
          <w:tcPr>
            <w:tcW w:type="dxa" w:w="2880"/>
          </w:tcPr>
          <w:p>
            <w:r>
              <w:t>Approved with controls for minimisation, access restriction, notice update, and retention limit.</w:t>
            </w:r>
          </w:p>
        </w:tc>
      </w:tr>
      <w:tr>
        <w:tc>
          <w:tcPr>
            <w:tcW w:type="dxa" w:w="2880"/>
          </w:tcPr>
          <w:p>
            <w:r>
              <w:t>[HR system implementation]</w:t>
            </w:r>
          </w:p>
        </w:tc>
        <w:tc>
          <w:tcPr>
            <w:tcW w:type="dxa" w:w="2880"/>
          </w:tcPr>
          <w:p>
            <w:r>
              <w:t>Privacy and security review completed</w:t>
            </w:r>
          </w:p>
        </w:tc>
        <w:tc>
          <w:tcPr>
            <w:tcW w:type="dxa" w:w="2880"/>
          </w:tcPr>
          <w:p>
            <w:r>
              <w:t>Approved with contractual safeguards, role-based access, and employee notice update.</w:t>
            </w:r>
          </w:p>
        </w:tc>
      </w:tr>
      <w:tr>
        <w:tc>
          <w:tcPr>
            <w:tcW w:type="dxa" w:w="2880"/>
          </w:tcPr>
          <w:p>
            <w:r>
              <w:t>[Marketing automation change]</w:t>
            </w:r>
          </w:p>
        </w:tc>
        <w:tc>
          <w:tcPr>
            <w:tcW w:type="dxa" w:w="2880"/>
          </w:tcPr>
          <w:p>
            <w:r>
              <w:t>Screening completed</w:t>
            </w:r>
          </w:p>
        </w:tc>
        <w:tc>
          <w:tcPr>
            <w:tcW w:type="dxa" w:w="2880"/>
          </w:tcPr>
          <w:p>
            <w:r>
              <w:t>Additional preference management controls required before launch.</w:t>
            </w:r>
          </w:p>
        </w:tc>
      </w:tr>
      <w:tr>
        <w:tc>
          <w:tcPr>
            <w:tcW w:type="dxa" w:w="2880"/>
          </w:tcPr>
          <w:p>
            <w:r>
              <w:t>[AI-enabled support tool]</w:t>
            </w:r>
          </w:p>
        </w:tc>
        <w:tc>
          <w:tcPr>
            <w:tcW w:type="dxa" w:w="2880"/>
          </w:tcPr>
          <w:p>
            <w:r>
              <w:t>Assessment in progress</w:t>
            </w:r>
          </w:p>
        </w:tc>
        <w:tc>
          <w:tcPr>
            <w:tcW w:type="dxa" w:w="2880"/>
          </w:tcPr>
          <w:p>
            <w:r>
              <w:t>Further review required on transparency, data minimisation, and human oversight.</w:t>
            </w:r>
          </w:p>
        </w:tc>
      </w:tr>
    </w:tbl>
    <w:p>
      <w:r>
        <w:t>Findings:</w:t>
      </w:r>
    </w:p>
    <w:p>
      <w:pPr>
        <w:pStyle w:val="ListBullet"/>
      </w:pPr>
      <w:r>
        <w:t>High-risk initiatives were generally referred to Privacy and assessed before implementation.</w:t>
      </w:r>
    </w:p>
    <w:p>
      <w:pPr>
        <w:pStyle w:val="ListBullet"/>
      </w:pPr>
      <w:r>
        <w:t>Some lower-risk projects did not retain sufficient evidence of privacy screening.</w:t>
      </w:r>
    </w:p>
    <w:p>
      <w:pPr>
        <w:pStyle w:val="ListBullet"/>
      </w:pPr>
      <w:r>
        <w:t>Project teams sometimes treat privacy review as a late-stage approval rather than a design input.</w:t>
      </w:r>
    </w:p>
    <w:p>
      <w:pPr>
        <w:pStyle w:val="ListBullet"/>
      </w:pPr>
      <w:r>
        <w:t>Assessment quality improved where standard templates and Privacy Office consultation were used.</w:t>
      </w:r>
    </w:p>
    <w:p>
      <w:pPr>
        <w:pStyle w:val="ListBullet"/>
      </w:pPr>
      <w:r>
        <w:t>Residual risks from completed assessments are not always tracked through to closure in the central action register.</w:t>
      </w:r>
    </w:p>
    <w:p>
      <w:r>
        <w:t>Assessment: Partially effective; privacy by design is established for major projects but not yet consistently embedded across all change processes.</w:t>
      </w:r>
    </w:p>
    <w:p>
      <w:pPr>
        <w:pStyle w:val="Heading3"/>
      </w:pPr>
      <w:r>
        <w:t>5. Data Subject Rights</w:t>
      </w:r>
    </w:p>
    <w:p>
      <w:r>
        <w:t>The organisation operates a documented process for receiving, verifying, tracking, and responding to data subject rights requests. Requests are managed through [case management system / privacy mailbox / ticketing tool].</w:t>
      </w:r>
    </w:p>
    <w:p>
      <w:r>
        <w:t>Annual request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Request Type</w:t>
            </w:r>
          </w:p>
        </w:tc>
        <w:tc>
          <w:tcPr>
            <w:tcW w:type="dxa" w:w="1234"/>
          </w:tcPr>
          <w:p>
            <w:r>
              <w:t>Received</w:t>
            </w:r>
          </w:p>
        </w:tc>
        <w:tc>
          <w:tcPr>
            <w:tcW w:type="dxa" w:w="1234"/>
          </w:tcPr>
          <w:p>
            <w:r>
              <w:t>Completed</w:t>
            </w:r>
          </w:p>
        </w:tc>
        <w:tc>
          <w:tcPr>
            <w:tcW w:type="dxa" w:w="1234"/>
          </w:tcPr>
          <w:p>
            <w:r>
              <w:t>Completed On Time</w:t>
            </w:r>
          </w:p>
        </w:tc>
        <w:tc>
          <w:tcPr>
            <w:tcW w:type="dxa" w:w="1234"/>
          </w:tcPr>
          <w:p>
            <w:r>
              <w:t>Extended</w:t>
            </w:r>
          </w:p>
        </w:tc>
        <w:tc>
          <w:tcPr>
            <w:tcW w:type="dxa" w:w="1234"/>
          </w:tcPr>
          <w:p>
            <w:r>
              <w:t>Rejected / Not Actioned</w:t>
            </w:r>
          </w:p>
        </w:tc>
        <w:tc>
          <w:tcPr>
            <w:tcW w:type="dxa" w:w="1234"/>
          </w:tcPr>
          <w:p>
            <w:r>
              <w:t>Open at Period End</w:t>
            </w:r>
          </w:p>
        </w:tc>
      </w:tr>
      <w:tr>
        <w:tc>
          <w:tcPr>
            <w:tcW w:type="dxa" w:w="1234"/>
          </w:tcPr>
          <w:p>
            <w:r>
              <w:t>Access</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Erasure</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Rectification</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Objection</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Restriction</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Portability</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c>
          <w:tcPr>
            <w:tcW w:type="dxa" w:w="1234"/>
          </w:tcPr>
          <w:p>
            <w:r>
              <w:t>[Number]</w:t>
            </w:r>
          </w:p>
        </w:tc>
      </w:tr>
      <w:tr>
        <w:tc>
          <w:tcPr>
            <w:tcW w:type="dxa" w:w="1234"/>
          </w:tcPr>
          <w:p>
            <w:r>
              <w:t>Marketing opt-out / preference change</w:t>
            </w:r>
          </w:p>
        </w:tc>
        <w:tc>
          <w:tcPr>
            <w:tcW w:type="dxa" w:w="1234"/>
          </w:tcPr>
          <w:p>
            <w:r>
              <w:t>[Number]</w:t>
            </w:r>
          </w:p>
        </w:tc>
        <w:tc>
          <w:tcPr>
            <w:tcW w:type="dxa" w:w="1234"/>
          </w:tcPr>
          <w:p>
            <w:r>
              <w:t>[Number]</w:t>
            </w:r>
          </w:p>
        </w:tc>
        <w:tc>
          <w:tcPr>
            <w:tcW w:type="dxa" w:w="1234"/>
          </w:tcPr>
          <w:p>
            <w:r>
              <w:t>[Number]</w:t>
            </w:r>
          </w:p>
        </w:tc>
        <w:tc>
          <w:tcPr>
            <w:tcW w:type="dxa" w:w="1234"/>
          </w:tcPr>
          <w:p>
            <w:r>
              <w:t>N/A</w:t>
            </w:r>
          </w:p>
        </w:tc>
        <w:tc>
          <w:tcPr>
            <w:tcW w:type="dxa" w:w="1234"/>
          </w:tcPr>
          <w:p>
            <w:r>
              <w:t>[Number]</w:t>
            </w:r>
          </w:p>
        </w:tc>
        <w:tc>
          <w:tcPr>
            <w:tcW w:type="dxa" w:w="1234"/>
          </w:tcPr>
          <w:p>
            <w:r>
              <w:t>[Number]</w:t>
            </w:r>
          </w:p>
        </w:tc>
      </w:tr>
    </w:tbl>
    <w:p>
      <w:r>
        <w:t>Performance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Result</w:t>
            </w:r>
          </w:p>
        </w:tc>
        <w:tc>
          <w:tcPr>
            <w:tcW w:type="dxa" w:w="2160"/>
          </w:tcPr>
          <w:p>
            <w:r>
              <w:t>Target</w:t>
            </w:r>
          </w:p>
        </w:tc>
        <w:tc>
          <w:tcPr>
            <w:tcW w:type="dxa" w:w="2160"/>
          </w:tcPr>
          <w:p>
            <w:r>
              <w:t>Status</w:t>
            </w:r>
          </w:p>
        </w:tc>
      </w:tr>
      <w:tr>
        <w:tc>
          <w:tcPr>
            <w:tcW w:type="dxa" w:w="2160"/>
          </w:tcPr>
          <w:p>
            <w:r>
              <w:t>Overall on-time completion rate</w:t>
            </w:r>
          </w:p>
        </w:tc>
        <w:tc>
          <w:tcPr>
            <w:tcW w:type="dxa" w:w="2160"/>
          </w:tcPr>
          <w:p>
            <w:r>
              <w:t>[Percentage]</w:t>
            </w:r>
          </w:p>
        </w:tc>
        <w:tc>
          <w:tcPr>
            <w:tcW w:type="dxa" w:w="2160"/>
          </w:tcPr>
          <w:p>
            <w:r>
              <w:t>[Percentage]</w:t>
            </w:r>
          </w:p>
        </w:tc>
        <w:tc>
          <w:tcPr>
            <w:tcW w:type="dxa" w:w="2160"/>
          </w:tcPr>
          <w:p>
            <w:r>
              <w:t>[Green / Amber / Red]</w:t>
            </w:r>
          </w:p>
        </w:tc>
      </w:tr>
      <w:tr>
        <w:tc>
          <w:tcPr>
            <w:tcW w:type="dxa" w:w="2160"/>
          </w:tcPr>
          <w:p>
            <w:r>
              <w:t>Average response time</w:t>
            </w:r>
          </w:p>
        </w:tc>
        <w:tc>
          <w:tcPr>
            <w:tcW w:type="dxa" w:w="2160"/>
          </w:tcPr>
          <w:p>
            <w:r>
              <w:t>[Number] days</w:t>
            </w:r>
          </w:p>
        </w:tc>
        <w:tc>
          <w:tcPr>
            <w:tcW w:type="dxa" w:w="2160"/>
          </w:tcPr>
          <w:p>
            <w:r>
              <w:t>[Number] days</w:t>
            </w:r>
          </w:p>
        </w:tc>
        <w:tc>
          <w:tcPr>
            <w:tcW w:type="dxa" w:w="2160"/>
          </w:tcPr>
          <w:p>
            <w:r>
              <w:t>[Green / Amber / Red]</w:t>
            </w:r>
          </w:p>
        </w:tc>
      </w:tr>
      <w:tr>
        <w:tc>
          <w:tcPr>
            <w:tcW w:type="dxa" w:w="2160"/>
          </w:tcPr>
          <w:p>
            <w:r>
              <w:t>Oldest open request</w:t>
            </w:r>
          </w:p>
        </w:tc>
        <w:tc>
          <w:tcPr>
            <w:tcW w:type="dxa" w:w="2160"/>
          </w:tcPr>
          <w:p>
            <w:r>
              <w:t>[Number] days</w:t>
            </w:r>
          </w:p>
        </w:tc>
        <w:tc>
          <w:tcPr>
            <w:tcW w:type="dxa" w:w="2160"/>
          </w:tcPr>
          <w:p>
            <w:r>
              <w:t>[Number] days</w:t>
            </w:r>
          </w:p>
        </w:tc>
        <w:tc>
          <w:tcPr>
            <w:tcW w:type="dxa" w:w="2160"/>
          </w:tcPr>
          <w:p>
            <w:r>
              <w:t>[Green / Amber / Red]</w:t>
            </w:r>
          </w:p>
        </w:tc>
      </w:tr>
      <w:tr>
        <w:tc>
          <w:tcPr>
            <w:tcW w:type="dxa" w:w="2160"/>
          </w:tcPr>
          <w:p>
            <w:r>
              <w:t>Requests requiring extension</w:t>
            </w:r>
          </w:p>
        </w:tc>
        <w:tc>
          <w:tcPr>
            <w:tcW w:type="dxa" w:w="2160"/>
          </w:tcPr>
          <w:p>
            <w:r>
              <w:t>[Number]</w:t>
            </w:r>
          </w:p>
        </w:tc>
        <w:tc>
          <w:tcPr>
            <w:tcW w:type="dxa" w:w="2160"/>
          </w:tcPr>
          <w:p>
            <w:r>
              <w:t>N/A</w:t>
            </w:r>
          </w:p>
        </w:tc>
        <w:tc>
          <w:tcPr>
            <w:tcW w:type="dxa" w:w="2160"/>
          </w:tcPr>
          <w:p>
            <w:r>
              <w:t>Monitored</w:t>
            </w:r>
          </w:p>
        </w:tc>
      </w:tr>
      <w:tr>
        <w:tc>
          <w:tcPr>
            <w:tcW w:type="dxa" w:w="2160"/>
          </w:tcPr>
          <w:p>
            <w:r>
              <w:t>Complaints related to rights handling</w:t>
            </w:r>
          </w:p>
        </w:tc>
        <w:tc>
          <w:tcPr>
            <w:tcW w:type="dxa" w:w="2160"/>
          </w:tcPr>
          <w:p>
            <w:r>
              <w:t>[Number]</w:t>
            </w:r>
          </w:p>
        </w:tc>
        <w:tc>
          <w:tcPr>
            <w:tcW w:type="dxa" w:w="2160"/>
          </w:tcPr>
          <w:p>
            <w:r>
              <w:t>0</w:t>
            </w:r>
          </w:p>
        </w:tc>
        <w:tc>
          <w:tcPr>
            <w:tcW w:type="dxa" w:w="2160"/>
          </w:tcPr>
          <w:p>
            <w:r>
              <w:t>[Green / Amber / Red]</w:t>
            </w:r>
          </w:p>
        </w:tc>
      </w:tr>
    </w:tbl>
    <w:p>
      <w:r>
        <w:t>Findings:</w:t>
      </w:r>
    </w:p>
    <w:p>
      <w:pPr>
        <w:pStyle w:val="ListBullet"/>
      </w:pPr>
      <w:r>
        <w:t>The process is documented and generally operating effectively.</w:t>
      </w:r>
    </w:p>
    <w:p>
      <w:pPr>
        <w:pStyle w:val="ListBullet"/>
      </w:pPr>
      <w:r>
        <w:t>Identity verification steps are applied, although evidence should be retained more consistently.</w:t>
      </w:r>
    </w:p>
    <w:p>
      <w:pPr>
        <w:pStyle w:val="ListBullet"/>
      </w:pPr>
      <w:r>
        <w:t>The most common delays were caused by system owner response times and manual data searches.</w:t>
      </w:r>
    </w:p>
    <w:p>
      <w:pPr>
        <w:pStyle w:val="ListBullet"/>
      </w:pPr>
      <w:r>
        <w:t>Response templates are in use and have improved consistency.</w:t>
      </w:r>
    </w:p>
    <w:p>
      <w:pPr>
        <w:pStyle w:val="ListBullet"/>
      </w:pPr>
      <w:r>
        <w:t>Some systems lack documented search and extraction instructions, increasing dependency on individual technical staff.</w:t>
      </w:r>
    </w:p>
    <w:p>
      <w:pPr>
        <w:pStyle w:val="ListBullet"/>
      </w:pPr>
      <w:r>
        <w:t>Marketing opt-out requests are generally handled quickly, but audit trails for preference changes should be strengthened.</w:t>
      </w:r>
    </w:p>
    <w:p>
      <w:r>
        <w:t>Assessment: Effective overall, with improvement required in evidence retention, system search playbooks, and dependency management.</w:t>
      </w:r>
    </w:p>
    <w:p>
      <w:pPr>
        <w:pStyle w:val="Heading3"/>
      </w:pPr>
      <w:r>
        <w:t>6. Personal Data Breaches and Privacy Incidents</w:t>
      </w:r>
    </w:p>
    <w:p>
      <w:r>
        <w:t>Privacy incidents were logged, assessed, contained, and remediated through the organisation’s incident response process. Privacy, Legal, Information Security, and relevant business owners participated in incident triage where personal data was involved.</w:t>
      </w:r>
    </w:p>
    <w:p>
      <w:r>
        <w:t>Incident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Incident Category</w:t>
            </w:r>
          </w:p>
        </w:tc>
        <w:tc>
          <w:tcPr>
            <w:tcW w:type="dxa" w:w="1440"/>
          </w:tcPr>
          <w:p>
            <w:r>
              <w:t>Number Reported</w:t>
            </w:r>
          </w:p>
        </w:tc>
        <w:tc>
          <w:tcPr>
            <w:tcW w:type="dxa" w:w="1440"/>
          </w:tcPr>
          <w:p>
            <w:r>
              <w:t>Confirmed Personal Data Involved</w:t>
            </w:r>
          </w:p>
        </w:tc>
        <w:tc>
          <w:tcPr>
            <w:tcW w:type="dxa" w:w="1440"/>
          </w:tcPr>
          <w:p>
            <w:r>
              <w:t>Notifiable to Regulator</w:t>
            </w:r>
          </w:p>
        </w:tc>
        <w:tc>
          <w:tcPr>
            <w:tcW w:type="dxa" w:w="1440"/>
          </w:tcPr>
          <w:p>
            <w:r>
              <w:t>Notifiable to Individuals</w:t>
            </w:r>
          </w:p>
        </w:tc>
        <w:tc>
          <w:tcPr>
            <w:tcW w:type="dxa" w:w="1440"/>
          </w:tcPr>
          <w:p>
            <w:r>
              <w:t>Closed</w:t>
            </w:r>
          </w:p>
        </w:tc>
      </w:tr>
      <w:tr>
        <w:tc>
          <w:tcPr>
            <w:tcW w:type="dxa" w:w="1440"/>
          </w:tcPr>
          <w:p>
            <w:r>
              <w:t>Email sent to wrong recipient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Misconfigured access permissions</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Lost or stolen device/document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Supplier incident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System vulnerability affecting personal data</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Other</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bl>
    <w:p>
      <w:r>
        <w:t>Severity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Count</w:t>
            </w:r>
          </w:p>
        </w:tc>
        <w:tc>
          <w:tcPr>
            <w:tcW w:type="dxa" w:w="2880"/>
          </w:tcPr>
          <w:p>
            <w:r>
              <w:t>Description</w:t>
            </w:r>
          </w:p>
        </w:tc>
      </w:tr>
      <w:tr>
        <w:tc>
          <w:tcPr>
            <w:tcW w:type="dxa" w:w="2880"/>
          </w:tcPr>
          <w:p>
            <w:r>
              <w:t>Critical</w:t>
            </w:r>
          </w:p>
        </w:tc>
        <w:tc>
          <w:tcPr>
            <w:tcW w:type="dxa" w:w="2880"/>
          </w:tcPr>
          <w:p>
            <w:r>
              <w:t>[Number]</w:t>
            </w:r>
          </w:p>
        </w:tc>
        <w:tc>
          <w:tcPr>
            <w:tcW w:type="dxa" w:w="2880"/>
          </w:tcPr>
          <w:p>
            <w:r>
              <w:t>Significant impact or high likelihood of harm requiring immediate executive attention.</w:t>
            </w:r>
          </w:p>
        </w:tc>
      </w:tr>
      <w:tr>
        <w:tc>
          <w:tcPr>
            <w:tcW w:type="dxa" w:w="2880"/>
          </w:tcPr>
          <w:p>
            <w:r>
              <w:t>High</w:t>
            </w:r>
          </w:p>
        </w:tc>
        <w:tc>
          <w:tcPr>
            <w:tcW w:type="dxa" w:w="2880"/>
          </w:tcPr>
          <w:p>
            <w:r>
              <w:t>[Number]</w:t>
            </w:r>
          </w:p>
        </w:tc>
        <w:tc>
          <w:tcPr>
            <w:tcW w:type="dxa" w:w="2880"/>
          </w:tcPr>
          <w:p>
            <w:r>
              <w:t>Material privacy risk requiring urgent remediation and senior oversight.</w:t>
            </w:r>
          </w:p>
        </w:tc>
      </w:tr>
      <w:tr>
        <w:tc>
          <w:tcPr>
            <w:tcW w:type="dxa" w:w="2880"/>
          </w:tcPr>
          <w:p>
            <w:r>
              <w:t>Medium</w:t>
            </w:r>
          </w:p>
        </w:tc>
        <w:tc>
          <w:tcPr>
            <w:tcW w:type="dxa" w:w="2880"/>
          </w:tcPr>
          <w:p>
            <w:r>
              <w:t>[Number]</w:t>
            </w:r>
          </w:p>
        </w:tc>
        <w:tc>
          <w:tcPr>
            <w:tcW w:type="dxa" w:w="2880"/>
          </w:tcPr>
          <w:p>
            <w:r>
              <w:t>Contained incident requiring corrective action.</w:t>
            </w:r>
          </w:p>
        </w:tc>
      </w:tr>
      <w:tr>
        <w:tc>
          <w:tcPr>
            <w:tcW w:type="dxa" w:w="2880"/>
          </w:tcPr>
          <w:p>
            <w:r>
              <w:t>Low</w:t>
            </w:r>
          </w:p>
        </w:tc>
        <w:tc>
          <w:tcPr>
            <w:tcW w:type="dxa" w:w="2880"/>
          </w:tcPr>
          <w:p>
            <w:r>
              <w:t>[Number]</w:t>
            </w:r>
          </w:p>
        </w:tc>
        <w:tc>
          <w:tcPr>
            <w:tcW w:type="dxa" w:w="2880"/>
          </w:tcPr>
          <w:p>
            <w:r>
              <w:t>Minor incident with limited impact and routine remediation.</w:t>
            </w:r>
          </w:p>
        </w:tc>
      </w:tr>
    </w:tbl>
    <w:p>
      <w:r>
        <w:t>Findings:</w:t>
      </w:r>
    </w:p>
    <w:p>
      <w:pPr>
        <w:pStyle w:val="ListBullet"/>
      </w:pPr>
      <w:r>
        <w:t>Incident reporting channels are known by core support functions, but awareness varies among front-line teams.</w:t>
      </w:r>
    </w:p>
    <w:p>
      <w:pPr>
        <w:pStyle w:val="ListBullet"/>
      </w:pPr>
      <w:r>
        <w:t>Most incidents were contained promptly.</w:t>
      </w:r>
    </w:p>
    <w:p>
      <w:pPr>
        <w:pStyle w:val="ListBullet"/>
      </w:pPr>
      <w:r>
        <w:t>Root cause analysis was completed for high and medium incidents, although action closure evidence was inconsistent in some cases.</w:t>
      </w:r>
    </w:p>
    <w:p>
      <w:pPr>
        <w:pStyle w:val="ListBullet"/>
      </w:pPr>
      <w:r>
        <w:t>Common root causes included human error, access misconfiguration, inadequate review before external communication, and unclear ownership of shared folders.</w:t>
      </w:r>
    </w:p>
    <w:p>
      <w:pPr>
        <w:pStyle w:val="ListBullet"/>
      </w:pPr>
      <w:r>
        <w:t>Supplier incident notification obligations are included in most high-risk contracts, but supplier testing and escalation drills have not been performed consistently.</w:t>
      </w:r>
    </w:p>
    <w:p>
      <w:r>
        <w:t>Assessment: Operational and responsive, with improvement required in preventative controls, incident closure evidence, and supplier incident assurance.</w:t>
      </w:r>
    </w:p>
    <w:p>
      <w:pPr>
        <w:pStyle w:val="Heading3"/>
      </w:pPr>
      <w:r>
        <w:t>7. Supplier and Processor Oversight</w:t>
      </w:r>
    </w:p>
    <w:p>
      <w:r>
        <w:t>The organisation maintains a supplier privacy review process for third parties that process personal data. Reviews are conducted as part of procurement, contract renewal, and risk-based reassessment.</w:t>
      </w:r>
    </w:p>
    <w:p>
      <w:r>
        <w:t>Supplier review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Supplier Risk Tier</w:t>
            </w:r>
          </w:p>
        </w:tc>
        <w:tc>
          <w:tcPr>
            <w:tcW w:type="dxa" w:w="1440"/>
          </w:tcPr>
          <w:p>
            <w:r>
              <w:t>Total Suppliers</w:t>
            </w:r>
          </w:p>
        </w:tc>
        <w:tc>
          <w:tcPr>
            <w:tcW w:type="dxa" w:w="1440"/>
          </w:tcPr>
          <w:p>
            <w:r>
              <w:t>Reviewed During Period</w:t>
            </w:r>
          </w:p>
        </w:tc>
        <w:tc>
          <w:tcPr>
            <w:tcW w:type="dxa" w:w="1440"/>
          </w:tcPr>
          <w:p>
            <w:r>
              <w:t>Approved</w:t>
            </w:r>
          </w:p>
        </w:tc>
        <w:tc>
          <w:tcPr>
            <w:tcW w:type="dxa" w:w="1440"/>
          </w:tcPr>
          <w:p>
            <w:r>
              <w:t>Approved with Conditions</w:t>
            </w:r>
          </w:p>
        </w:tc>
        <w:tc>
          <w:tcPr>
            <w:tcW w:type="dxa" w:w="1440"/>
          </w:tcPr>
          <w:p>
            <w:r>
              <w:t>Overdue Review</w:t>
            </w:r>
          </w:p>
        </w:tc>
      </w:tr>
      <w:tr>
        <w:tc>
          <w:tcPr>
            <w:tcW w:type="dxa" w:w="1440"/>
          </w:tcPr>
          <w:p>
            <w:r>
              <w:t>High</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Medium</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Low</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bl>
    <w:p>
      <w:r>
        <w:t>Contractual and due diligence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Status</w:t>
            </w:r>
          </w:p>
        </w:tc>
        <w:tc>
          <w:tcPr>
            <w:tcW w:type="dxa" w:w="2880"/>
          </w:tcPr>
          <w:p>
            <w:r>
              <w:t>Comments</w:t>
            </w:r>
          </w:p>
        </w:tc>
      </w:tr>
      <w:tr>
        <w:tc>
          <w:tcPr>
            <w:tcW w:type="dxa" w:w="2880"/>
          </w:tcPr>
          <w:p>
            <w:r>
              <w:t>Data processing terms</w:t>
            </w:r>
          </w:p>
        </w:tc>
        <w:tc>
          <w:tcPr>
            <w:tcW w:type="dxa" w:w="2880"/>
          </w:tcPr>
          <w:p>
            <w:r>
              <w:t>Partially complete</w:t>
            </w:r>
          </w:p>
        </w:tc>
        <w:tc>
          <w:tcPr>
            <w:tcW w:type="dxa" w:w="2880"/>
          </w:tcPr>
          <w:p>
            <w:r>
              <w:t>Standard terms are used, but some legacy contracts require refresh.</w:t>
            </w:r>
          </w:p>
        </w:tc>
      </w:tr>
      <w:tr>
        <w:tc>
          <w:tcPr>
            <w:tcW w:type="dxa" w:w="2880"/>
          </w:tcPr>
          <w:p>
            <w:r>
              <w:t>Subprocessor transparency</w:t>
            </w:r>
          </w:p>
        </w:tc>
        <w:tc>
          <w:tcPr>
            <w:tcW w:type="dxa" w:w="2880"/>
          </w:tcPr>
          <w:p>
            <w:r>
              <w:t>Partially complete</w:t>
            </w:r>
          </w:p>
        </w:tc>
        <w:tc>
          <w:tcPr>
            <w:tcW w:type="dxa" w:w="2880"/>
          </w:tcPr>
          <w:p>
            <w:r>
              <w:t>High-risk suppliers generally provide details; monitoring of changes should improve.</w:t>
            </w:r>
          </w:p>
        </w:tc>
      </w:tr>
      <w:tr>
        <w:tc>
          <w:tcPr>
            <w:tcW w:type="dxa" w:w="2880"/>
          </w:tcPr>
          <w:p>
            <w:r>
              <w:t>International transfer safeguards</w:t>
            </w:r>
          </w:p>
        </w:tc>
        <w:tc>
          <w:tcPr>
            <w:tcW w:type="dxa" w:w="2880"/>
          </w:tcPr>
          <w:p>
            <w:r>
              <w:t>Partially complete</w:t>
            </w:r>
          </w:p>
        </w:tc>
        <w:tc>
          <w:tcPr>
            <w:tcW w:type="dxa" w:w="2880"/>
          </w:tcPr>
          <w:p>
            <w:r>
              <w:t>Major suppliers reviewed; some medium-risk suppliers require updated evidence.</w:t>
            </w:r>
          </w:p>
        </w:tc>
      </w:tr>
      <w:tr>
        <w:tc>
          <w:tcPr>
            <w:tcW w:type="dxa" w:w="2880"/>
          </w:tcPr>
          <w:p>
            <w:r>
              <w:t>Security due diligence</w:t>
            </w:r>
          </w:p>
        </w:tc>
        <w:tc>
          <w:tcPr>
            <w:tcW w:type="dxa" w:w="2880"/>
          </w:tcPr>
          <w:p>
            <w:r>
              <w:t>Generally complete</w:t>
            </w:r>
          </w:p>
        </w:tc>
        <w:tc>
          <w:tcPr>
            <w:tcW w:type="dxa" w:w="2880"/>
          </w:tcPr>
          <w:p>
            <w:r>
              <w:t>Security reviews completed for high-risk suppliers.</w:t>
            </w:r>
          </w:p>
        </w:tc>
      </w:tr>
      <w:tr>
        <w:tc>
          <w:tcPr>
            <w:tcW w:type="dxa" w:w="2880"/>
          </w:tcPr>
          <w:p>
            <w:r>
              <w:t>Supplier incident notification obligations</w:t>
            </w:r>
          </w:p>
        </w:tc>
        <w:tc>
          <w:tcPr>
            <w:tcW w:type="dxa" w:w="2880"/>
          </w:tcPr>
          <w:p>
            <w:r>
              <w:t>Generally complete</w:t>
            </w:r>
          </w:p>
        </w:tc>
        <w:tc>
          <w:tcPr>
            <w:tcW w:type="dxa" w:w="2880"/>
          </w:tcPr>
          <w:p>
            <w:r>
              <w:t>Included in most current templates.</w:t>
            </w:r>
          </w:p>
        </w:tc>
      </w:tr>
      <w:tr>
        <w:tc>
          <w:tcPr>
            <w:tcW w:type="dxa" w:w="2880"/>
          </w:tcPr>
          <w:p>
            <w:r>
              <w:t>Offboarding and data return/deletion</w:t>
            </w:r>
          </w:p>
        </w:tc>
        <w:tc>
          <w:tcPr>
            <w:tcW w:type="dxa" w:w="2880"/>
          </w:tcPr>
          <w:p>
            <w:r>
              <w:t>Needs improvement</w:t>
            </w:r>
          </w:p>
        </w:tc>
        <w:tc>
          <w:tcPr>
            <w:tcW w:type="dxa" w:w="2880"/>
          </w:tcPr>
          <w:p>
            <w:r>
              <w:t>Evidence of deletion or return is not consistently retained.</w:t>
            </w:r>
          </w:p>
        </w:tc>
      </w:tr>
    </w:tbl>
    <w:p>
      <w:r>
        <w:t>Findings:</w:t>
      </w:r>
    </w:p>
    <w:p>
      <w:pPr>
        <w:pStyle w:val="ListBullet"/>
      </w:pPr>
      <w:r>
        <w:t>High-risk supplier review is functioning and generally completed before approval.</w:t>
      </w:r>
    </w:p>
    <w:p>
      <w:pPr>
        <w:pStyle w:val="ListBullet"/>
      </w:pPr>
      <w:r>
        <w:t>Medium-risk suppliers sometimes proceed before privacy review is fully complete.</w:t>
      </w:r>
    </w:p>
    <w:p>
      <w:pPr>
        <w:pStyle w:val="ListBullet"/>
      </w:pPr>
      <w:r>
        <w:t>Procurement workflows do not always prevent business-led purchases outside formal channels.</w:t>
      </w:r>
    </w:p>
    <w:p>
      <w:pPr>
        <w:pStyle w:val="ListBullet"/>
      </w:pPr>
      <w:r>
        <w:t>Legacy supplier agreements remain an area of risk where terms have not been refreshed.</w:t>
      </w:r>
    </w:p>
    <w:p>
      <w:pPr>
        <w:pStyle w:val="ListBullet"/>
      </w:pPr>
      <w:r>
        <w:t>Supplier offboarding evidence is inconsistent, particularly for cloud tools and marketing platforms.</w:t>
      </w:r>
    </w:p>
    <w:p>
      <w:r>
        <w:t>Assessment: Partially effective; high-risk oversight is working, but procurement gating, legacy contract remediation, and offboarding evidence need improvement.</w:t>
      </w:r>
    </w:p>
    <w:p>
      <w:pPr>
        <w:pStyle w:val="Heading3"/>
      </w:pPr>
      <w:r>
        <w:t>8. International Data Transfers</w:t>
      </w:r>
    </w:p>
    <w:p>
      <w:r>
        <w:t>The organisation identified personal data transfers to recipients outside the primary operating jurisdiction through supplier reviews, processing records, and project assessments.</w:t>
      </w:r>
    </w:p>
    <w:p>
      <w:r>
        <w:t>Transfer governance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Comments</w:t>
            </w:r>
          </w:p>
        </w:tc>
      </w:tr>
      <w:tr>
        <w:tc>
          <w:tcPr>
            <w:tcW w:type="dxa" w:w="2880"/>
          </w:tcPr>
          <w:p>
            <w:r>
              <w:t>Transfer inventory</w:t>
            </w:r>
          </w:p>
        </w:tc>
        <w:tc>
          <w:tcPr>
            <w:tcW w:type="dxa" w:w="2880"/>
          </w:tcPr>
          <w:p>
            <w:r>
              <w:t>Partially complete</w:t>
            </w:r>
          </w:p>
        </w:tc>
        <w:tc>
          <w:tcPr>
            <w:tcW w:type="dxa" w:w="2880"/>
          </w:tcPr>
          <w:p>
            <w:r>
              <w:t>Major transfers are documented; some indirect supplier transfers require confirmation.</w:t>
            </w:r>
          </w:p>
        </w:tc>
      </w:tr>
      <w:tr>
        <w:tc>
          <w:tcPr>
            <w:tcW w:type="dxa" w:w="2880"/>
          </w:tcPr>
          <w:p>
            <w:r>
              <w:t>Contractual safeguards</w:t>
            </w:r>
          </w:p>
        </w:tc>
        <w:tc>
          <w:tcPr>
            <w:tcW w:type="dxa" w:w="2880"/>
          </w:tcPr>
          <w:p>
            <w:r>
              <w:t>Generally complete</w:t>
            </w:r>
          </w:p>
        </w:tc>
        <w:tc>
          <w:tcPr>
            <w:tcW w:type="dxa" w:w="2880"/>
          </w:tcPr>
          <w:p>
            <w:r>
              <w:t>Standard contract mechanisms are used for major suppliers where required.</w:t>
            </w:r>
          </w:p>
        </w:tc>
      </w:tr>
      <w:tr>
        <w:tc>
          <w:tcPr>
            <w:tcW w:type="dxa" w:w="2880"/>
          </w:tcPr>
          <w:p>
            <w:r>
              <w:t>Transfer risk assessments</w:t>
            </w:r>
          </w:p>
        </w:tc>
        <w:tc>
          <w:tcPr>
            <w:tcW w:type="dxa" w:w="2880"/>
          </w:tcPr>
          <w:p>
            <w:r>
              <w:t>Partially complete</w:t>
            </w:r>
          </w:p>
        </w:tc>
        <w:tc>
          <w:tcPr>
            <w:tcW w:type="dxa" w:w="2880"/>
          </w:tcPr>
          <w:p>
            <w:r>
              <w:t>Completed for high-risk and major suppliers; backlog remains for selected medium-risk suppliers.</w:t>
            </w:r>
          </w:p>
        </w:tc>
      </w:tr>
      <w:tr>
        <w:tc>
          <w:tcPr>
            <w:tcW w:type="dxa" w:w="2880"/>
          </w:tcPr>
          <w:p>
            <w:r>
              <w:t>Subprocessor monitoring</w:t>
            </w:r>
          </w:p>
        </w:tc>
        <w:tc>
          <w:tcPr>
            <w:tcW w:type="dxa" w:w="2880"/>
          </w:tcPr>
          <w:p>
            <w:r>
              <w:t>Needs improvement</w:t>
            </w:r>
          </w:p>
        </w:tc>
        <w:tc>
          <w:tcPr>
            <w:tcW w:type="dxa" w:w="2880"/>
          </w:tcPr>
          <w:p>
            <w:r>
              <w:t>Reliance on supplier notification portals is not consistently monitored.</w:t>
            </w:r>
          </w:p>
        </w:tc>
      </w:tr>
      <w:tr>
        <w:tc>
          <w:tcPr>
            <w:tcW w:type="dxa" w:w="2880"/>
          </w:tcPr>
          <w:p>
            <w:r>
              <w:t>Business owner awareness</w:t>
            </w:r>
          </w:p>
        </w:tc>
        <w:tc>
          <w:tcPr>
            <w:tcW w:type="dxa" w:w="2880"/>
          </w:tcPr>
          <w:p>
            <w:r>
              <w:t>Needs improvement</w:t>
            </w:r>
          </w:p>
        </w:tc>
        <w:tc>
          <w:tcPr>
            <w:tcW w:type="dxa" w:w="2880"/>
          </w:tcPr>
          <w:p>
            <w:r>
              <w:t>Some teams are not aware when supplier hosting or support arrangements involve transfers.</w:t>
            </w:r>
          </w:p>
        </w:tc>
      </w:tr>
    </w:tbl>
    <w:p>
      <w:r>
        <w:t>Findings:</w:t>
      </w:r>
    </w:p>
    <w:p>
      <w:pPr>
        <w:pStyle w:val="ListBullet"/>
      </w:pPr>
      <w:r>
        <w:t>The organisation has identified and documented key international transfer arrangements.</w:t>
      </w:r>
    </w:p>
    <w:p>
      <w:pPr>
        <w:pStyle w:val="ListBullet"/>
      </w:pPr>
      <w:r>
        <w:t>Transfer assessments are performed for major suppliers and high-risk processing.</w:t>
      </w:r>
    </w:p>
    <w:p>
      <w:pPr>
        <w:pStyle w:val="ListBullet"/>
      </w:pPr>
      <w:r>
        <w:t>Evidence is incomplete for some older suppliers and indirect subprocessors.</w:t>
      </w:r>
    </w:p>
    <w:p>
      <w:pPr>
        <w:pStyle w:val="ListBullet"/>
      </w:pPr>
      <w:r>
        <w:t>Business teams require clearer guidance on identifying transfer risks during procurement and project planning.</w:t>
      </w:r>
    </w:p>
    <w:p>
      <w:r>
        <w:t>Assessment: Partially effective; current controls address major transfers but require improved completeness and monitoring.</w:t>
      </w:r>
    </w:p>
    <w:p>
      <w:pPr>
        <w:pStyle w:val="Heading3"/>
      </w:pPr>
      <w:r>
        <w:t>9. Data Retention and Disposal</w:t>
      </w:r>
    </w:p>
    <w:p>
      <w:r>
        <w:t>The organisation maintains a retention schedule covering key business records and personal data categories. Retention requirements are reflected in some system configurations and business procedures.</w:t>
      </w:r>
    </w:p>
    <w:p>
      <w:r>
        <w:t>Retention implementation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 Area</w:t>
            </w:r>
          </w:p>
        </w:tc>
        <w:tc>
          <w:tcPr>
            <w:tcW w:type="dxa" w:w="1440"/>
          </w:tcPr>
          <w:p>
            <w:r>
              <w:t>Retention Defined</w:t>
            </w:r>
          </w:p>
        </w:tc>
        <w:tc>
          <w:tcPr>
            <w:tcW w:type="dxa" w:w="1440"/>
          </w:tcPr>
          <w:p>
            <w:r>
              <w:t>System Deletion Implemented</w:t>
            </w:r>
          </w:p>
        </w:tc>
        <w:tc>
          <w:tcPr>
            <w:tcW w:type="dxa" w:w="1440"/>
          </w:tcPr>
          <w:p>
            <w:r>
              <w:t>Manual Process in Place</w:t>
            </w:r>
          </w:p>
        </w:tc>
        <w:tc>
          <w:tcPr>
            <w:tcW w:type="dxa" w:w="1440"/>
          </w:tcPr>
          <w:p>
            <w:r>
              <w:t>Evidence Available</w:t>
            </w:r>
          </w:p>
        </w:tc>
        <w:tc>
          <w:tcPr>
            <w:tcW w:type="dxa" w:w="1440"/>
          </w:tcPr>
          <w:p>
            <w:r>
              <w:t>Risk Level</w:t>
            </w:r>
          </w:p>
        </w:tc>
      </w:tr>
      <w:tr>
        <w:tc>
          <w:tcPr>
            <w:tcW w:type="dxa" w:w="1440"/>
          </w:tcPr>
          <w:p>
            <w:r>
              <w:t>Customer account data</w:t>
            </w:r>
          </w:p>
        </w:tc>
        <w:tc>
          <w:tcPr>
            <w:tcW w:type="dxa" w:w="1440"/>
          </w:tcPr>
          <w:p>
            <w:r>
              <w:t>Yes</w:t>
            </w:r>
          </w:p>
        </w:tc>
        <w:tc>
          <w:tcPr>
            <w:tcW w:type="dxa" w:w="1440"/>
          </w:tcPr>
          <w:p>
            <w:r>
              <w:t>Partial</w:t>
            </w:r>
          </w:p>
        </w:tc>
        <w:tc>
          <w:tcPr>
            <w:tcW w:type="dxa" w:w="1440"/>
          </w:tcPr>
          <w:p>
            <w:r>
              <w:t>Yes</w:t>
            </w:r>
          </w:p>
        </w:tc>
        <w:tc>
          <w:tcPr>
            <w:tcW w:type="dxa" w:w="1440"/>
          </w:tcPr>
          <w:p>
            <w:r>
              <w:t>Partial</w:t>
            </w:r>
          </w:p>
        </w:tc>
        <w:tc>
          <w:tcPr>
            <w:tcW w:type="dxa" w:w="1440"/>
          </w:tcPr>
          <w:p>
            <w:r>
              <w:t>Medium-High</w:t>
            </w:r>
          </w:p>
        </w:tc>
      </w:tr>
      <w:tr>
        <w:tc>
          <w:tcPr>
            <w:tcW w:type="dxa" w:w="1440"/>
          </w:tcPr>
          <w:p>
            <w:r>
              <w:t>Marketing contacts</w:t>
            </w:r>
          </w:p>
        </w:tc>
        <w:tc>
          <w:tcPr>
            <w:tcW w:type="dxa" w:w="1440"/>
          </w:tcPr>
          <w:p>
            <w:r>
              <w:t>Yes</w:t>
            </w:r>
          </w:p>
        </w:tc>
        <w:tc>
          <w:tcPr>
            <w:tcW w:type="dxa" w:w="1440"/>
          </w:tcPr>
          <w:p>
            <w:r>
              <w:t>Partial</w:t>
            </w:r>
          </w:p>
        </w:tc>
        <w:tc>
          <w:tcPr>
            <w:tcW w:type="dxa" w:w="1440"/>
          </w:tcPr>
          <w:p>
            <w:r>
              <w:t>Yes</w:t>
            </w:r>
          </w:p>
        </w:tc>
        <w:tc>
          <w:tcPr>
            <w:tcW w:type="dxa" w:w="1440"/>
          </w:tcPr>
          <w:p>
            <w:r>
              <w:t>Partial</w:t>
            </w:r>
          </w:p>
        </w:tc>
        <w:tc>
          <w:tcPr>
            <w:tcW w:type="dxa" w:w="1440"/>
          </w:tcPr>
          <w:p>
            <w:r>
              <w:t>Medium</w:t>
            </w:r>
          </w:p>
        </w:tc>
      </w:tr>
      <w:tr>
        <w:tc>
          <w:tcPr>
            <w:tcW w:type="dxa" w:w="1440"/>
          </w:tcPr>
          <w:p>
            <w:r>
              <w:t>HR employee records</w:t>
            </w:r>
          </w:p>
        </w:tc>
        <w:tc>
          <w:tcPr>
            <w:tcW w:type="dxa" w:w="1440"/>
          </w:tcPr>
          <w:p>
            <w:r>
              <w:t>Yes</w:t>
            </w:r>
          </w:p>
        </w:tc>
        <w:tc>
          <w:tcPr>
            <w:tcW w:type="dxa" w:w="1440"/>
          </w:tcPr>
          <w:p>
            <w:r>
              <w:t>Partial</w:t>
            </w:r>
          </w:p>
        </w:tc>
        <w:tc>
          <w:tcPr>
            <w:tcW w:type="dxa" w:w="1440"/>
          </w:tcPr>
          <w:p>
            <w:r>
              <w:t>Yes</w:t>
            </w:r>
          </w:p>
        </w:tc>
        <w:tc>
          <w:tcPr>
            <w:tcW w:type="dxa" w:w="1440"/>
          </w:tcPr>
          <w:p>
            <w:r>
              <w:t>Partial</w:t>
            </w:r>
          </w:p>
        </w:tc>
        <w:tc>
          <w:tcPr>
            <w:tcW w:type="dxa" w:w="1440"/>
          </w:tcPr>
          <w:p>
            <w:r>
              <w:t>Medium</w:t>
            </w:r>
          </w:p>
        </w:tc>
      </w:tr>
      <w:tr>
        <w:tc>
          <w:tcPr>
            <w:tcW w:type="dxa" w:w="1440"/>
          </w:tcPr>
          <w:p>
            <w:r>
              <w:t>Recruitment records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Low-Medium</w:t>
            </w:r>
          </w:p>
        </w:tc>
      </w:tr>
      <w:tr>
        <w:tc>
          <w:tcPr>
            <w:tcW w:type="dxa" w:w="1440"/>
          </w:tcPr>
          <w:p>
            <w:r>
              <w:t>Supplier contacts</w:t>
            </w:r>
          </w:p>
        </w:tc>
        <w:tc>
          <w:tcPr>
            <w:tcW w:type="dxa" w:w="1440"/>
          </w:tcPr>
          <w:p>
            <w:r>
              <w:t>Yes</w:t>
            </w:r>
          </w:p>
        </w:tc>
        <w:tc>
          <w:tcPr>
            <w:tcW w:type="dxa" w:w="1440"/>
          </w:tcPr>
          <w:p>
            <w:r>
              <w:t>Partial</w:t>
            </w:r>
          </w:p>
        </w:tc>
        <w:tc>
          <w:tcPr>
            <w:tcW w:type="dxa" w:w="1440"/>
          </w:tcPr>
          <w:p>
            <w:r>
              <w:t>Yes</w:t>
            </w:r>
          </w:p>
        </w:tc>
        <w:tc>
          <w:tcPr>
            <w:tcW w:type="dxa" w:w="1440"/>
          </w:tcPr>
          <w:p>
            <w:r>
              <w:t>Limited</w:t>
            </w:r>
          </w:p>
        </w:tc>
        <w:tc>
          <w:tcPr>
            <w:tcW w:type="dxa" w:w="1440"/>
          </w:tcPr>
          <w:p>
            <w:r>
              <w:t>Medium</w:t>
            </w:r>
          </w:p>
        </w:tc>
      </w:tr>
      <w:tr>
        <w:tc>
          <w:tcPr>
            <w:tcW w:type="dxa" w:w="1440"/>
          </w:tcPr>
          <w:p>
            <w:r>
              <w:t>Shared drives and collaboration tools</w:t>
            </w:r>
          </w:p>
        </w:tc>
        <w:tc>
          <w:tcPr>
            <w:tcW w:type="dxa" w:w="1440"/>
          </w:tcPr>
          <w:p>
            <w:r>
              <w:t>Partial</w:t>
            </w:r>
          </w:p>
        </w:tc>
        <w:tc>
          <w:tcPr>
            <w:tcW w:type="dxa" w:w="1440"/>
          </w:tcPr>
          <w:p>
            <w:r>
              <w:t>No</w:t>
            </w:r>
          </w:p>
        </w:tc>
        <w:tc>
          <w:tcPr>
            <w:tcW w:type="dxa" w:w="1440"/>
          </w:tcPr>
          <w:p>
            <w:r>
              <w:t>Partial</w:t>
            </w:r>
          </w:p>
        </w:tc>
        <w:tc>
          <w:tcPr>
            <w:tcW w:type="dxa" w:w="1440"/>
          </w:tcPr>
          <w:p>
            <w:r>
              <w:t>Limited</w:t>
            </w:r>
          </w:p>
        </w:tc>
        <w:tc>
          <w:tcPr>
            <w:tcW w:type="dxa" w:w="1440"/>
          </w:tcPr>
          <w:p>
            <w:r>
              <w:t>High</w:t>
            </w:r>
          </w:p>
        </w:tc>
      </w:tr>
      <w:tr>
        <w:tc>
          <w:tcPr>
            <w:tcW w:type="dxa" w:w="1440"/>
          </w:tcPr>
          <w:p>
            <w:r>
              <w:t>Backup data</w:t>
            </w:r>
          </w:p>
        </w:tc>
        <w:tc>
          <w:tcPr>
            <w:tcW w:type="dxa" w:w="1440"/>
          </w:tcPr>
          <w:p>
            <w:r>
              <w:t>Yes</w:t>
            </w:r>
          </w:p>
        </w:tc>
        <w:tc>
          <w:tcPr>
            <w:tcW w:type="dxa" w:w="1440"/>
          </w:tcPr>
          <w:p>
            <w:r>
              <w:t>Partial</w:t>
            </w:r>
          </w:p>
        </w:tc>
        <w:tc>
          <w:tcPr>
            <w:tcW w:type="dxa" w:w="1440"/>
          </w:tcPr>
          <w:p>
            <w:r>
              <w:t>N/A</w:t>
            </w:r>
          </w:p>
        </w:tc>
        <w:tc>
          <w:tcPr>
            <w:tcW w:type="dxa" w:w="1440"/>
          </w:tcPr>
          <w:p>
            <w:r>
              <w:t>Partial</w:t>
            </w:r>
          </w:p>
        </w:tc>
        <w:tc>
          <w:tcPr>
            <w:tcW w:type="dxa" w:w="1440"/>
          </w:tcPr>
          <w:p>
            <w:r>
              <w:t>Medium</w:t>
            </w:r>
          </w:p>
        </w:tc>
      </w:tr>
    </w:tbl>
    <w:p>
      <w:r>
        <w:t>Findings:</w:t>
      </w:r>
    </w:p>
    <w:p>
      <w:pPr>
        <w:pStyle w:val="ListBullet"/>
      </w:pPr>
      <w:r>
        <w:t>Retention rules are documented for major categories of personal data.</w:t>
      </w:r>
    </w:p>
    <w:p>
      <w:pPr>
        <w:pStyle w:val="ListBullet"/>
      </w:pPr>
      <w:r>
        <w:t>Implementation varies significantly by system and department.</w:t>
      </w:r>
    </w:p>
    <w:p>
      <w:pPr>
        <w:pStyle w:val="ListBullet"/>
      </w:pPr>
      <w:r>
        <w:t>Legacy repositories, shared drives, exports, and local copies create elevated risk.</w:t>
      </w:r>
    </w:p>
    <w:p>
      <w:pPr>
        <w:pStyle w:val="ListBullet"/>
      </w:pPr>
      <w:r>
        <w:t>Deletion evidence is not consistently retained.</w:t>
      </w:r>
    </w:p>
    <w:p>
      <w:pPr>
        <w:pStyle w:val="ListBullet"/>
      </w:pPr>
      <w:r>
        <w:t>Some systems require technical enhancement to automate retention and deletion.</w:t>
      </w:r>
    </w:p>
    <w:p>
      <w:pPr>
        <w:pStyle w:val="ListBullet"/>
      </w:pPr>
      <w:r>
        <w:t>Business processes for legal holds, dispute preservation, and deletion exceptions require clearer documentation.</w:t>
      </w:r>
    </w:p>
    <w:p>
      <w:r>
        <w:t>Assessment: Needs improvement; retention requirements are documented but not consistently operationalised.</w:t>
      </w:r>
    </w:p>
    <w:p>
      <w:pPr>
        <w:pStyle w:val="Heading3"/>
      </w:pPr>
      <w:r>
        <w:t>10. Training and Awareness</w:t>
      </w:r>
    </w:p>
    <w:p>
      <w:r>
        <w:t>Annual privacy training was delivered to employees and contractors in scope. Targeted awareness activities were also provided to higher-risk functions.</w:t>
      </w:r>
    </w:p>
    <w:p>
      <w:r>
        <w:t>Training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Audience</w:t>
            </w:r>
          </w:p>
        </w:tc>
        <w:tc>
          <w:tcPr>
            <w:tcW w:type="dxa" w:w="1440"/>
          </w:tcPr>
          <w:p>
            <w:r>
              <w:t>Assigned</w:t>
            </w:r>
          </w:p>
        </w:tc>
        <w:tc>
          <w:tcPr>
            <w:tcW w:type="dxa" w:w="1440"/>
          </w:tcPr>
          <w:p>
            <w:r>
              <w:t>Completed</w:t>
            </w:r>
          </w:p>
        </w:tc>
        <w:tc>
          <w:tcPr>
            <w:tcW w:type="dxa" w:w="1440"/>
          </w:tcPr>
          <w:p>
            <w:r>
              <w:t>Completion Rate</w:t>
            </w:r>
          </w:p>
        </w:tc>
        <w:tc>
          <w:tcPr>
            <w:tcW w:type="dxa" w:w="1440"/>
          </w:tcPr>
          <w:p>
            <w:r>
              <w:t>Target</w:t>
            </w:r>
          </w:p>
        </w:tc>
        <w:tc>
          <w:tcPr>
            <w:tcW w:type="dxa" w:w="1440"/>
          </w:tcPr>
          <w:p>
            <w:r>
              <w:t>Status</w:t>
            </w:r>
          </w:p>
        </w:tc>
      </w:tr>
      <w:tr>
        <w:tc>
          <w:tcPr>
            <w:tcW w:type="dxa" w:w="1440"/>
          </w:tcPr>
          <w:p>
            <w:r>
              <w:t>All employees</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Contractors</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HR</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Marketing</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Customer support</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Product and engineering</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r>
        <w:tc>
          <w:tcPr>
            <w:tcW w:type="dxa" w:w="1440"/>
          </w:tcPr>
          <w:p>
            <w:r>
              <w:t>Procurement</w:t>
            </w:r>
          </w:p>
        </w:tc>
        <w:tc>
          <w:tcPr>
            <w:tcW w:type="dxa" w:w="1440"/>
          </w:tcPr>
          <w:p>
            <w:r>
              <w:t>[Number]</w:t>
            </w:r>
          </w:p>
        </w:tc>
        <w:tc>
          <w:tcPr>
            <w:tcW w:type="dxa" w:w="1440"/>
          </w:tcPr>
          <w:p>
            <w:r>
              <w:t>[Number]</w:t>
            </w:r>
          </w:p>
        </w:tc>
        <w:tc>
          <w:tcPr>
            <w:tcW w:type="dxa" w:w="1440"/>
          </w:tcPr>
          <w:p>
            <w:r>
              <w:t>[Percentage]</w:t>
            </w:r>
          </w:p>
        </w:tc>
        <w:tc>
          <w:tcPr>
            <w:tcW w:type="dxa" w:w="1440"/>
          </w:tcPr>
          <w:p>
            <w:r>
              <w:t>[Percentage]</w:t>
            </w:r>
          </w:p>
        </w:tc>
        <w:tc>
          <w:tcPr>
            <w:tcW w:type="dxa" w:w="1440"/>
          </w:tcPr>
          <w:p>
            <w:r>
              <w:t>[Green / Amber / Red]</w:t>
            </w:r>
          </w:p>
        </w:tc>
      </w:tr>
    </w:tbl>
    <w:p>
      <w:r>
        <w:t>Awareness activities completed: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Audience</w:t>
            </w:r>
          </w:p>
        </w:tc>
        <w:tc>
          <w:tcPr>
            <w:tcW w:type="dxa" w:w="2160"/>
          </w:tcPr>
          <w:p>
            <w:r>
              <w:t>Date</w:t>
            </w:r>
          </w:p>
        </w:tc>
        <w:tc>
          <w:tcPr>
            <w:tcW w:type="dxa" w:w="2160"/>
          </w:tcPr>
          <w:p>
            <w:r>
              <w:t>Outcome</w:t>
            </w:r>
          </w:p>
        </w:tc>
      </w:tr>
      <w:tr>
        <w:tc>
          <w:tcPr>
            <w:tcW w:type="dxa" w:w="2160"/>
          </w:tcPr>
          <w:p>
            <w:r>
              <w:t>Annual privacy refresher</w:t>
            </w:r>
          </w:p>
        </w:tc>
        <w:tc>
          <w:tcPr>
            <w:tcW w:type="dxa" w:w="2160"/>
          </w:tcPr>
          <w:p>
            <w:r>
              <w:t>All employees</w:t>
            </w:r>
          </w:p>
        </w:tc>
        <w:tc>
          <w:tcPr>
            <w:tcW w:type="dxa" w:w="2160"/>
          </w:tcPr>
          <w:p>
            <w:r>
              <w:t>[Date]</w:t>
            </w:r>
          </w:p>
        </w:tc>
        <w:tc>
          <w:tcPr>
            <w:tcW w:type="dxa" w:w="2160"/>
          </w:tcPr>
          <w:p>
            <w:r>
              <w:t>Core privacy responsibilities reinforced.</w:t>
            </w:r>
          </w:p>
        </w:tc>
      </w:tr>
      <w:tr>
        <w:tc>
          <w:tcPr>
            <w:tcW w:type="dxa" w:w="2160"/>
          </w:tcPr>
          <w:p>
            <w:r>
              <w:t>Data subject rights briefing</w:t>
            </w:r>
          </w:p>
        </w:tc>
        <w:tc>
          <w:tcPr>
            <w:tcW w:type="dxa" w:w="2160"/>
          </w:tcPr>
          <w:p>
            <w:r>
              <w:t>Customer support and HR</w:t>
            </w:r>
          </w:p>
        </w:tc>
        <w:tc>
          <w:tcPr>
            <w:tcW w:type="dxa" w:w="2160"/>
          </w:tcPr>
          <w:p>
            <w:r>
              <w:t>[Date]</w:t>
            </w:r>
          </w:p>
        </w:tc>
        <w:tc>
          <w:tcPr>
            <w:tcW w:type="dxa" w:w="2160"/>
          </w:tcPr>
          <w:p>
            <w:r>
              <w:t>Improved request identification and escalation.</w:t>
            </w:r>
          </w:p>
        </w:tc>
      </w:tr>
      <w:tr>
        <w:tc>
          <w:tcPr>
            <w:tcW w:type="dxa" w:w="2160"/>
          </w:tcPr>
          <w:p>
            <w:r>
              <w:t>Supplier privacy review guidance</w:t>
            </w:r>
          </w:p>
        </w:tc>
        <w:tc>
          <w:tcPr>
            <w:tcW w:type="dxa" w:w="2160"/>
          </w:tcPr>
          <w:p>
            <w:r>
              <w:t>Procurement and business buyers</w:t>
            </w:r>
          </w:p>
        </w:tc>
        <w:tc>
          <w:tcPr>
            <w:tcW w:type="dxa" w:w="2160"/>
          </w:tcPr>
          <w:p>
            <w:r>
              <w:t>[Date]</w:t>
            </w:r>
          </w:p>
        </w:tc>
        <w:tc>
          <w:tcPr>
            <w:tcW w:type="dxa" w:w="2160"/>
          </w:tcPr>
          <w:p>
            <w:r>
              <w:t>Clarified review triggers and evidence requirements.</w:t>
            </w:r>
          </w:p>
        </w:tc>
      </w:tr>
      <w:tr>
        <w:tc>
          <w:tcPr>
            <w:tcW w:type="dxa" w:w="2160"/>
          </w:tcPr>
          <w:p>
            <w:r>
              <w:t>Marketing privacy session</w:t>
            </w:r>
          </w:p>
        </w:tc>
        <w:tc>
          <w:tcPr>
            <w:tcW w:type="dxa" w:w="2160"/>
          </w:tcPr>
          <w:p>
            <w:r>
              <w:t>Marketing and sales operations</w:t>
            </w:r>
          </w:p>
        </w:tc>
        <w:tc>
          <w:tcPr>
            <w:tcW w:type="dxa" w:w="2160"/>
          </w:tcPr>
          <w:p>
            <w:r>
              <w:t>[Date]</w:t>
            </w:r>
          </w:p>
        </w:tc>
        <w:tc>
          <w:tcPr>
            <w:tcW w:type="dxa" w:w="2160"/>
          </w:tcPr>
          <w:p>
            <w:r>
              <w:t>Covered consent, preference management, and campaign governance.</w:t>
            </w:r>
          </w:p>
        </w:tc>
      </w:tr>
      <w:tr>
        <w:tc>
          <w:tcPr>
            <w:tcW w:type="dxa" w:w="2160"/>
          </w:tcPr>
          <w:p>
            <w:r>
              <w:t>Incident reporting awareness</w:t>
            </w:r>
          </w:p>
        </w:tc>
        <w:tc>
          <w:tcPr>
            <w:tcW w:type="dxa" w:w="2160"/>
          </w:tcPr>
          <w:p>
            <w:r>
              <w:t>All employees</w:t>
            </w:r>
          </w:p>
        </w:tc>
        <w:tc>
          <w:tcPr>
            <w:tcW w:type="dxa" w:w="2160"/>
          </w:tcPr>
          <w:p>
            <w:r>
              <w:t>[Date]</w:t>
            </w:r>
          </w:p>
        </w:tc>
        <w:tc>
          <w:tcPr>
            <w:tcW w:type="dxa" w:w="2160"/>
          </w:tcPr>
          <w:p>
            <w:r>
              <w:t>Reinforced prompt reporting of suspected personal data incidents.</w:t>
            </w:r>
          </w:p>
        </w:tc>
      </w:tr>
    </w:tbl>
    <w:p>
      <w:r>
        <w:t>Findings:</w:t>
      </w:r>
    </w:p>
    <w:p>
      <w:pPr>
        <w:pStyle w:val="ListBullet"/>
      </w:pPr>
      <w:r>
        <w:t>Completion rates met or approached target for most employee groups.</w:t>
      </w:r>
    </w:p>
    <w:p>
      <w:pPr>
        <w:pStyle w:val="ListBullet"/>
      </w:pPr>
      <w:r>
        <w:t>Contractors and temporary workers require more consistent inclusion in training assignment.</w:t>
      </w:r>
    </w:p>
    <w:p>
      <w:pPr>
        <w:pStyle w:val="ListBullet"/>
      </w:pPr>
      <w:r>
        <w:t>Role-based training is valuable but should be expanded for Product, Engineering, Procurement, and Marketing.</w:t>
      </w:r>
    </w:p>
    <w:p>
      <w:pPr>
        <w:pStyle w:val="ListBullet"/>
      </w:pPr>
      <w:r>
        <w:t>Awareness campaigns should include practical examples of common incidents and data handling mistakes.</w:t>
      </w:r>
    </w:p>
    <w:p>
      <w:r>
        <w:t>Assessment: Generally effective, with improvement required for contractor coverage and role-specific content.</w:t>
      </w:r>
    </w:p>
    <w:p>
      <w:pPr>
        <w:pStyle w:val="Heading3"/>
      </w:pPr>
      <w:r>
        <w:t>11. Security Measures Supporting Privacy</w:t>
      </w:r>
    </w:p>
    <w:p>
      <w:r>
        <w:t>Information Security maintains technical and organisational controls that support the confidentiality, integrity, and availability of personal data. The Privacy Office coordinated with Information Security on incidents, project reviews, supplier reviews, and risk assessments.</w:t>
      </w:r>
    </w:p>
    <w:p>
      <w:r>
        <w:t>Privacy-relevant security control observations: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Privacy Relevance</w:t>
            </w:r>
          </w:p>
        </w:tc>
      </w:tr>
      <w:tr>
        <w:tc>
          <w:tcPr>
            <w:tcW w:type="dxa" w:w="2880"/>
          </w:tcPr>
          <w:p>
            <w:r>
              <w:t>Access management</w:t>
            </w:r>
          </w:p>
        </w:tc>
        <w:tc>
          <w:tcPr>
            <w:tcW w:type="dxa" w:w="2880"/>
          </w:tcPr>
          <w:p>
            <w:r>
              <w:t>Partially effective</w:t>
            </w:r>
          </w:p>
        </w:tc>
        <w:tc>
          <w:tcPr>
            <w:tcW w:type="dxa" w:w="2880"/>
          </w:tcPr>
          <w:p>
            <w:r>
              <w:t>Access reviews are performed for key systems, but shared repositories require improvement.</w:t>
            </w:r>
          </w:p>
        </w:tc>
      </w:tr>
      <w:tr>
        <w:tc>
          <w:tcPr>
            <w:tcW w:type="dxa" w:w="2880"/>
          </w:tcPr>
          <w:p>
            <w:r>
              <w:t>Encryption</w:t>
            </w:r>
          </w:p>
        </w:tc>
        <w:tc>
          <w:tcPr>
            <w:tcW w:type="dxa" w:w="2880"/>
          </w:tcPr>
          <w:p>
            <w:r>
              <w:t>Generally effective</w:t>
            </w:r>
          </w:p>
        </w:tc>
        <w:tc>
          <w:tcPr>
            <w:tcW w:type="dxa" w:w="2880"/>
          </w:tcPr>
          <w:p>
            <w:r>
              <w:t>Encryption is applied to key systems and devices, subject to system-specific exceptions.</w:t>
            </w:r>
          </w:p>
        </w:tc>
      </w:tr>
      <w:tr>
        <w:tc>
          <w:tcPr>
            <w:tcW w:type="dxa" w:w="2880"/>
          </w:tcPr>
          <w:p>
            <w:r>
              <w:t>Logging and monitoring</w:t>
            </w:r>
          </w:p>
        </w:tc>
        <w:tc>
          <w:tcPr>
            <w:tcW w:type="dxa" w:w="2880"/>
          </w:tcPr>
          <w:p>
            <w:r>
              <w:t>Generally effective</w:t>
            </w:r>
          </w:p>
        </w:tc>
        <w:tc>
          <w:tcPr>
            <w:tcW w:type="dxa" w:w="2880"/>
          </w:tcPr>
          <w:p>
            <w:r>
              <w:t>Monitoring supports detection and investigation of incidents involving personal data.</w:t>
            </w:r>
          </w:p>
        </w:tc>
      </w:tr>
      <w:tr>
        <w:tc>
          <w:tcPr>
            <w:tcW w:type="dxa" w:w="2880"/>
          </w:tcPr>
          <w:p>
            <w:r>
              <w:t>Vulnerability management</w:t>
            </w:r>
          </w:p>
        </w:tc>
        <w:tc>
          <w:tcPr>
            <w:tcW w:type="dxa" w:w="2880"/>
          </w:tcPr>
          <w:p>
            <w:r>
              <w:t>Generally effective</w:t>
            </w:r>
          </w:p>
        </w:tc>
        <w:tc>
          <w:tcPr>
            <w:tcW w:type="dxa" w:w="2880"/>
          </w:tcPr>
          <w:p>
            <w:r>
              <w:t>Critical vulnerabilities are tracked and remediated through security processes.</w:t>
            </w:r>
          </w:p>
        </w:tc>
      </w:tr>
      <w:tr>
        <w:tc>
          <w:tcPr>
            <w:tcW w:type="dxa" w:w="2880"/>
          </w:tcPr>
          <w:p>
            <w:r>
              <w:t>Endpoint protection</w:t>
            </w:r>
          </w:p>
        </w:tc>
        <w:tc>
          <w:tcPr>
            <w:tcW w:type="dxa" w:w="2880"/>
          </w:tcPr>
          <w:p>
            <w:r>
              <w:t>Generally effective</w:t>
            </w:r>
          </w:p>
        </w:tc>
        <w:tc>
          <w:tcPr>
            <w:tcW w:type="dxa" w:w="2880"/>
          </w:tcPr>
          <w:p>
            <w:r>
              <w:t>Controls reduce risk of data loss from devices.</w:t>
            </w:r>
          </w:p>
        </w:tc>
      </w:tr>
      <w:tr>
        <w:tc>
          <w:tcPr>
            <w:tcW w:type="dxa" w:w="2880"/>
          </w:tcPr>
          <w:p>
            <w:r>
              <w:t>Data loss prevention</w:t>
            </w:r>
          </w:p>
        </w:tc>
        <w:tc>
          <w:tcPr>
            <w:tcW w:type="dxa" w:w="2880"/>
          </w:tcPr>
          <w:p>
            <w:r>
              <w:t>Partially effective</w:t>
            </w:r>
          </w:p>
        </w:tc>
        <w:tc>
          <w:tcPr>
            <w:tcW w:type="dxa" w:w="2880"/>
          </w:tcPr>
          <w:p>
            <w:r>
              <w:t>Coverage exists but tuning and monitoring should improve for sensitive personal data.</w:t>
            </w:r>
          </w:p>
        </w:tc>
      </w:tr>
      <w:tr>
        <w:tc>
          <w:tcPr>
            <w:tcW w:type="dxa" w:w="2880"/>
          </w:tcPr>
          <w:p>
            <w:r>
              <w:t>Secure development</w:t>
            </w:r>
          </w:p>
        </w:tc>
        <w:tc>
          <w:tcPr>
            <w:tcW w:type="dxa" w:w="2880"/>
          </w:tcPr>
          <w:p>
            <w:r>
              <w:t>Partially effective</w:t>
            </w:r>
          </w:p>
        </w:tc>
        <w:tc>
          <w:tcPr>
            <w:tcW w:type="dxa" w:w="2880"/>
          </w:tcPr>
          <w:p>
            <w:r>
              <w:t>Privacy requirements should be more consistently evidenced in development lifecycle records.</w:t>
            </w:r>
          </w:p>
        </w:tc>
      </w:tr>
    </w:tbl>
    <w:p>
      <w:r>
        <w:t>Findings:</w:t>
      </w:r>
    </w:p>
    <w:p>
      <w:pPr>
        <w:pStyle w:val="ListBullet"/>
      </w:pPr>
      <w:r>
        <w:t>Security controls provide a strong foundation for personal data protection.</w:t>
      </w:r>
    </w:p>
    <w:p>
      <w:pPr>
        <w:pStyle w:val="ListBullet"/>
      </w:pPr>
      <w:r>
        <w:t>Privacy risk should be more explicitly considered in access reviews and data loss prevention tuning.</w:t>
      </w:r>
    </w:p>
    <w:p>
      <w:pPr>
        <w:pStyle w:val="ListBullet"/>
      </w:pPr>
      <w:r>
        <w:t>Shared folders, collaboration platforms, and unmanaged exports remain recurring risk areas.</w:t>
      </w:r>
    </w:p>
    <w:p>
      <w:pPr>
        <w:pStyle w:val="ListBullet"/>
      </w:pPr>
      <w:r>
        <w:t>Security and Privacy collaboration is effective for major incidents and projects.</w:t>
      </w:r>
    </w:p>
    <w:p>
      <w:r>
        <w:t>Assessment: Generally effective, with targeted improvements needed for access governance, collaboration platforms, and privacy evidence in system development.</w:t>
      </w:r>
    </w:p>
    <w:p>
      <w:pPr>
        <w:pStyle w:val="Heading3"/>
      </w:pPr>
      <w:r>
        <w:t>12. Complaints, Regulatory Contacts, and Litigation Support</w:t>
      </w:r>
    </w:p>
    <w:p>
      <w:r>
        <w:t>The organisation maintained processes for identifying, escalating, and responding to privacy complaints and regulatory correspondence.</w:t>
      </w:r>
    </w:p>
    <w:p>
      <w:r>
        <w:t>Activity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Count</w:t>
            </w:r>
          </w:p>
        </w:tc>
        <w:tc>
          <w:tcPr>
            <w:tcW w:type="dxa" w:w="2160"/>
          </w:tcPr>
          <w:p>
            <w:r>
              <w:t>Status</w:t>
            </w:r>
          </w:p>
        </w:tc>
        <w:tc>
          <w:tcPr>
            <w:tcW w:type="dxa" w:w="2160"/>
          </w:tcPr>
          <w:p>
            <w:r>
              <w:t>Comments</w:t>
            </w:r>
          </w:p>
        </w:tc>
      </w:tr>
      <w:tr>
        <w:tc>
          <w:tcPr>
            <w:tcW w:type="dxa" w:w="2160"/>
          </w:tcPr>
          <w:p>
            <w:r>
              <w:t>Privacy complaints received directly</w:t>
            </w:r>
          </w:p>
        </w:tc>
        <w:tc>
          <w:tcPr>
            <w:tcW w:type="dxa" w:w="2160"/>
          </w:tcPr>
          <w:p>
            <w:r>
              <w:t>[Number]</w:t>
            </w:r>
          </w:p>
        </w:tc>
        <w:tc>
          <w:tcPr>
            <w:tcW w:type="dxa" w:w="2160"/>
          </w:tcPr>
          <w:p>
            <w:r>
              <w:t>[Open / Closed / Mixed]</w:t>
            </w:r>
          </w:p>
        </w:tc>
        <w:tc>
          <w:tcPr>
            <w:tcW w:type="dxa" w:w="2160"/>
          </w:tcPr>
          <w:p>
            <w:r>
              <w:t>Most related to access, marketing, or deletion requests.</w:t>
            </w:r>
          </w:p>
        </w:tc>
      </w:tr>
      <w:tr>
        <w:tc>
          <w:tcPr>
            <w:tcW w:type="dxa" w:w="2160"/>
          </w:tcPr>
          <w:p>
            <w:r>
              <w:t>Regulator correspondence</w:t>
            </w:r>
          </w:p>
        </w:tc>
        <w:tc>
          <w:tcPr>
            <w:tcW w:type="dxa" w:w="2160"/>
          </w:tcPr>
          <w:p>
            <w:r>
              <w:t>[Number]</w:t>
            </w:r>
          </w:p>
        </w:tc>
        <w:tc>
          <w:tcPr>
            <w:tcW w:type="dxa" w:w="2160"/>
          </w:tcPr>
          <w:p>
            <w:r>
              <w:t>[Open / Closed / Mixed]</w:t>
            </w:r>
          </w:p>
        </w:tc>
        <w:tc>
          <w:tcPr>
            <w:tcW w:type="dxa" w:w="2160"/>
          </w:tcPr>
          <w:p>
            <w:r>
              <w:t>[Brief summary without privileged detail].</w:t>
            </w:r>
          </w:p>
        </w:tc>
      </w:tr>
      <w:tr>
        <w:tc>
          <w:tcPr>
            <w:tcW w:type="dxa" w:w="2160"/>
          </w:tcPr>
          <w:p>
            <w:r>
              <w:t>Litigation or dispute support involving personal data</w:t>
            </w:r>
          </w:p>
        </w:tc>
        <w:tc>
          <w:tcPr>
            <w:tcW w:type="dxa" w:w="2160"/>
          </w:tcPr>
          <w:p>
            <w:r>
              <w:t>[Number]</w:t>
            </w:r>
          </w:p>
        </w:tc>
        <w:tc>
          <w:tcPr>
            <w:tcW w:type="dxa" w:w="2160"/>
          </w:tcPr>
          <w:p>
            <w:r>
              <w:t>[Open / Closed / Mixed]</w:t>
            </w:r>
          </w:p>
        </w:tc>
        <w:tc>
          <w:tcPr>
            <w:tcW w:type="dxa" w:w="2160"/>
          </w:tcPr>
          <w:p>
            <w:r>
              <w:t>Managed with Legal oversight.</w:t>
            </w:r>
          </w:p>
        </w:tc>
      </w:tr>
      <w:tr>
        <w:tc>
          <w:tcPr>
            <w:tcW w:type="dxa" w:w="2160"/>
          </w:tcPr>
          <w:p>
            <w:r>
              <w:t>Internal escalations to Privacy Office</w:t>
            </w:r>
          </w:p>
        </w:tc>
        <w:tc>
          <w:tcPr>
            <w:tcW w:type="dxa" w:w="2160"/>
          </w:tcPr>
          <w:p>
            <w:r>
              <w:t>[Number]</w:t>
            </w:r>
          </w:p>
        </w:tc>
        <w:tc>
          <w:tcPr>
            <w:tcW w:type="dxa" w:w="2160"/>
          </w:tcPr>
          <w:p>
            <w:r>
              <w:t>[Open / Closed / Mixed]</w:t>
            </w:r>
          </w:p>
        </w:tc>
        <w:tc>
          <w:tcPr>
            <w:tcW w:type="dxa" w:w="2160"/>
          </w:tcPr>
          <w:p>
            <w:r>
              <w:t>Included project, supplier, HR, and customer issues.</w:t>
            </w:r>
          </w:p>
        </w:tc>
      </w:tr>
    </w:tbl>
    <w:p>
      <w:r>
        <w:t>Findings:</w:t>
      </w:r>
    </w:p>
    <w:p>
      <w:pPr>
        <w:pStyle w:val="ListBullet"/>
      </w:pPr>
      <w:r>
        <w:t>Complaints are logged and escalated appropriately.</w:t>
      </w:r>
    </w:p>
    <w:p>
      <w:pPr>
        <w:pStyle w:val="ListBullet"/>
      </w:pPr>
      <w:r>
        <w:t>Coordination between Legal and Privacy is effective.</w:t>
      </w:r>
    </w:p>
    <w:p>
      <w:pPr>
        <w:pStyle w:val="ListBullet"/>
      </w:pPr>
      <w:r>
        <w:t>Root cause analysis for recurring complaint themes should be strengthened.</w:t>
      </w:r>
    </w:p>
    <w:p>
      <w:pPr>
        <w:pStyle w:val="ListBullet"/>
      </w:pPr>
      <w:r>
        <w:t>Complaint trend reporting should be included in quarterly privacy reporting.</w:t>
      </w:r>
    </w:p>
    <w:p>
      <w:r>
        <w:t>Assessment: Effective, with opportunity to improve trend analysis and preventative action.</w:t>
      </w:r>
    </w:p>
    <w:p>
      <w:pPr>
        <w:pStyle w:val="Heading3"/>
      </w:pPr>
      <w:r>
        <w:t>13. Prior-Year Action Status</w:t>
      </w:r>
    </w:p>
    <w:p>
      <w:r>
        <w:t>The following table summarises progress against prior-year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Prior-Year Action</w:t>
            </w:r>
          </w:p>
        </w:tc>
        <w:tc>
          <w:tcPr>
            <w:tcW w:type="dxa" w:w="1728"/>
          </w:tcPr>
          <w:p>
            <w:r>
              <w:t>Owner</w:t>
            </w:r>
          </w:p>
        </w:tc>
        <w:tc>
          <w:tcPr>
            <w:tcW w:type="dxa" w:w="1728"/>
          </w:tcPr>
          <w:p>
            <w:r>
              <w:t>Due Date</w:t>
            </w:r>
          </w:p>
        </w:tc>
        <w:tc>
          <w:tcPr>
            <w:tcW w:type="dxa" w:w="1728"/>
          </w:tcPr>
          <w:p>
            <w:r>
              <w:t>Status</w:t>
            </w:r>
          </w:p>
        </w:tc>
        <w:tc>
          <w:tcPr>
            <w:tcW w:type="dxa" w:w="1728"/>
          </w:tcPr>
          <w:p>
            <w:r>
              <w:t>Evidence / Comment</w:t>
            </w:r>
          </w:p>
        </w:tc>
      </w:tr>
      <w:tr>
        <w:tc>
          <w:tcPr>
            <w:tcW w:type="dxa" w:w="1728"/>
          </w:tcPr>
          <w:p>
            <w:r>
              <w:t>Update core privacy notices</w:t>
            </w:r>
          </w:p>
        </w:tc>
        <w:tc>
          <w:tcPr>
            <w:tcW w:type="dxa" w:w="1728"/>
          </w:tcPr>
          <w:p>
            <w:r>
              <w:t>Privacy Office / Legal</w:t>
            </w:r>
          </w:p>
        </w:tc>
        <w:tc>
          <w:tcPr>
            <w:tcW w:type="dxa" w:w="1728"/>
          </w:tcPr>
          <w:p>
            <w:r>
              <w:t>[Date]</w:t>
            </w:r>
          </w:p>
        </w:tc>
        <w:tc>
          <w:tcPr>
            <w:tcW w:type="dxa" w:w="1728"/>
          </w:tcPr>
          <w:p>
            <w:r>
              <w:t>Closed</w:t>
            </w:r>
          </w:p>
        </w:tc>
        <w:tc>
          <w:tcPr>
            <w:tcW w:type="dxa" w:w="1728"/>
          </w:tcPr>
          <w:p>
            <w:r>
              <w:t>Notices reviewed and published.</w:t>
            </w:r>
          </w:p>
        </w:tc>
      </w:tr>
      <w:tr>
        <w:tc>
          <w:tcPr>
            <w:tcW w:type="dxa" w:w="1728"/>
          </w:tcPr>
          <w:p>
            <w:r>
              <w:t>Improve data subject rights tracking</w:t>
            </w:r>
          </w:p>
        </w:tc>
        <w:tc>
          <w:tcPr>
            <w:tcW w:type="dxa" w:w="1728"/>
          </w:tcPr>
          <w:p>
            <w:r>
              <w:t>Privacy Office / IT</w:t>
            </w:r>
          </w:p>
        </w:tc>
        <w:tc>
          <w:tcPr>
            <w:tcW w:type="dxa" w:w="1728"/>
          </w:tcPr>
          <w:p>
            <w:r>
              <w:t>[Date]</w:t>
            </w:r>
          </w:p>
        </w:tc>
        <w:tc>
          <w:tcPr>
            <w:tcW w:type="dxa" w:w="1728"/>
          </w:tcPr>
          <w:p>
            <w:r>
              <w:t>Closed</w:t>
            </w:r>
          </w:p>
        </w:tc>
        <w:tc>
          <w:tcPr>
            <w:tcW w:type="dxa" w:w="1728"/>
          </w:tcPr>
          <w:p>
            <w:r>
              <w:t>Tracking workflow implemented.</w:t>
            </w:r>
          </w:p>
        </w:tc>
      </w:tr>
      <w:tr>
        <w:tc>
          <w:tcPr>
            <w:tcW w:type="dxa" w:w="1728"/>
          </w:tcPr>
          <w:p>
            <w:r>
              <w:t>Refresh supplier privacy review template</w:t>
            </w:r>
          </w:p>
        </w:tc>
        <w:tc>
          <w:tcPr>
            <w:tcW w:type="dxa" w:w="1728"/>
          </w:tcPr>
          <w:p>
            <w:r>
              <w:t>Procurement / Privacy Office</w:t>
            </w:r>
          </w:p>
        </w:tc>
        <w:tc>
          <w:tcPr>
            <w:tcW w:type="dxa" w:w="1728"/>
          </w:tcPr>
          <w:p>
            <w:r>
              <w:t>[Date]</w:t>
            </w:r>
          </w:p>
        </w:tc>
        <w:tc>
          <w:tcPr>
            <w:tcW w:type="dxa" w:w="1728"/>
          </w:tcPr>
          <w:p>
            <w:r>
              <w:t>Closed</w:t>
            </w:r>
          </w:p>
        </w:tc>
        <w:tc>
          <w:tcPr>
            <w:tcW w:type="dxa" w:w="1728"/>
          </w:tcPr>
          <w:p>
            <w:r>
              <w:t>Updated template in use.</w:t>
            </w:r>
          </w:p>
        </w:tc>
      </w:tr>
      <w:tr>
        <w:tc>
          <w:tcPr>
            <w:tcW w:type="dxa" w:w="1728"/>
          </w:tcPr>
          <w:p>
            <w:r>
              <w:t>Complete retention review for shared drives</w:t>
            </w:r>
          </w:p>
        </w:tc>
        <w:tc>
          <w:tcPr>
            <w:tcW w:type="dxa" w:w="1728"/>
          </w:tcPr>
          <w:p>
            <w:r>
              <w:t>IT / Business Owners</w:t>
            </w:r>
          </w:p>
        </w:tc>
        <w:tc>
          <w:tcPr>
            <w:tcW w:type="dxa" w:w="1728"/>
          </w:tcPr>
          <w:p>
            <w:r>
              <w:t>[Date]</w:t>
            </w:r>
          </w:p>
        </w:tc>
        <w:tc>
          <w:tcPr>
            <w:tcW w:type="dxa" w:w="1728"/>
          </w:tcPr>
          <w:p>
            <w:r>
              <w:t>Open</w:t>
            </w:r>
          </w:p>
        </w:tc>
        <w:tc>
          <w:tcPr>
            <w:tcW w:type="dxa" w:w="1728"/>
          </w:tcPr>
          <w:p>
            <w:r>
              <w:t>Initial mapping completed; deletion implementation pending.</w:t>
            </w:r>
          </w:p>
        </w:tc>
      </w:tr>
      <w:tr>
        <w:tc>
          <w:tcPr>
            <w:tcW w:type="dxa" w:w="1728"/>
          </w:tcPr>
          <w:p>
            <w:r>
              <w:t>Implement quarterly processing record attestations</w:t>
            </w:r>
          </w:p>
        </w:tc>
        <w:tc>
          <w:tcPr>
            <w:tcW w:type="dxa" w:w="1728"/>
          </w:tcPr>
          <w:p>
            <w:r>
              <w:t>Privacy Office / Business Owners</w:t>
            </w:r>
          </w:p>
        </w:tc>
        <w:tc>
          <w:tcPr>
            <w:tcW w:type="dxa" w:w="1728"/>
          </w:tcPr>
          <w:p>
            <w:r>
              <w:t>[Date]</w:t>
            </w:r>
          </w:p>
        </w:tc>
        <w:tc>
          <w:tcPr>
            <w:tcW w:type="dxa" w:w="1728"/>
          </w:tcPr>
          <w:p>
            <w:r>
              <w:t>In Progress</w:t>
            </w:r>
          </w:p>
        </w:tc>
        <w:tc>
          <w:tcPr>
            <w:tcW w:type="dxa" w:w="1728"/>
          </w:tcPr>
          <w:p>
            <w:r>
              <w:t>Pilot completed for high-risk departments.</w:t>
            </w:r>
          </w:p>
        </w:tc>
      </w:tr>
      <w:tr>
        <w:tc>
          <w:tcPr>
            <w:tcW w:type="dxa" w:w="1728"/>
          </w:tcPr>
          <w:p>
            <w:r>
              <w:t>Expand role-based privacy training</w:t>
            </w:r>
          </w:p>
        </w:tc>
        <w:tc>
          <w:tcPr>
            <w:tcW w:type="dxa" w:w="1728"/>
          </w:tcPr>
          <w:p>
            <w:r>
              <w:t>Privacy Office / HR</w:t>
            </w:r>
          </w:p>
        </w:tc>
        <w:tc>
          <w:tcPr>
            <w:tcW w:type="dxa" w:w="1728"/>
          </w:tcPr>
          <w:p>
            <w:r>
              <w:t>[Date]</w:t>
            </w:r>
          </w:p>
        </w:tc>
        <w:tc>
          <w:tcPr>
            <w:tcW w:type="dxa" w:w="1728"/>
          </w:tcPr>
          <w:p>
            <w:r>
              <w:t>In Progress</w:t>
            </w:r>
          </w:p>
        </w:tc>
        <w:tc>
          <w:tcPr>
            <w:tcW w:type="dxa" w:w="1728"/>
          </w:tcPr>
          <w:p>
            <w:r>
              <w:t>Initial sessions delivered; full rollout planned.</w:t>
            </w:r>
          </w:p>
        </w:tc>
      </w:tr>
      <w:tr>
        <w:tc>
          <w:tcPr>
            <w:tcW w:type="dxa" w:w="1728"/>
          </w:tcPr>
          <w:p>
            <w:r>
              <w:t>Review legacy supplier agreements</w:t>
            </w:r>
          </w:p>
        </w:tc>
        <w:tc>
          <w:tcPr>
            <w:tcW w:type="dxa" w:w="1728"/>
          </w:tcPr>
          <w:p>
            <w:r>
              <w:t>Legal / Procurement</w:t>
            </w:r>
          </w:p>
        </w:tc>
        <w:tc>
          <w:tcPr>
            <w:tcW w:type="dxa" w:w="1728"/>
          </w:tcPr>
          <w:p>
            <w:r>
              <w:t>[Date]</w:t>
            </w:r>
          </w:p>
        </w:tc>
        <w:tc>
          <w:tcPr>
            <w:tcW w:type="dxa" w:w="1728"/>
          </w:tcPr>
          <w:p>
            <w:r>
              <w:t>Open</w:t>
            </w:r>
          </w:p>
        </w:tc>
        <w:tc>
          <w:tcPr>
            <w:tcW w:type="dxa" w:w="1728"/>
          </w:tcPr>
          <w:p>
            <w:r>
              <w:t>Prioritised list prepared; remediation ongoing.</w:t>
            </w:r>
          </w:p>
        </w:tc>
      </w:tr>
    </w:tbl>
    <w:p>
      <w:r>
        <w:t>Overall, progress was made on governance, notices, supplier templates, and rights management. The main outstanding areas relate to retention implementation, legacy supplier remediation, and consistent business owner attestation.</w:t>
      </w:r>
    </w:p>
    <w:p>
      <w:pPr>
        <w:pStyle w:val="Heading2"/>
      </w:pPr>
      <w:r>
        <w:t>Analysis</w:t>
      </w:r>
    </w:p>
    <w:p>
      <w:r>
        <w:t>The organisation’s privacy programme has matured during the reporting period, particularly in relation to documented governance, rights request handling, privacy notice management, high-risk supplier reviews, and assessment of major initiatives. The Privacy Office is engaged by key functions and is generally recognised as the primary advisory and oversight function for personal data matters.</w:t>
      </w:r>
    </w:p>
    <w:p>
      <w:r>
        <w:t>However, the programme remains dependent on manual controls, business owner responsiveness, and periodic review cycles. This creates risk where personal data processing changes quickly, where systems are decentralised, or where business units adopt tools outside standard procurement and IT governance processes.</w:t>
      </w:r>
    </w:p>
    <w:p>
      <w:r>
        <w:t>The most important programme themes are set out below.</w:t>
      </w:r>
    </w:p>
    <w:p>
      <w:pPr>
        <w:pStyle w:val="Heading3"/>
      </w:pPr>
      <w:r>
        <w:t>Accountability is established but evidence is uneven</w:t>
      </w:r>
    </w:p>
    <w:p>
      <w:r>
        <w:t>The organisation has policies, ownership structures, reporting lines, and documented processes. These provide a clear basis for accountability. The main issue is not the absence of governance, but the consistency of evidence showing that governance operates effectively across all teams.</w:t>
      </w:r>
    </w:p>
    <w:p>
      <w:r>
        <w:t>Examples include incomplete owner attestations, delayed action closure evidence, inconsistent project screening records, and uneven documentation of retention activities. These issues are manageable but should be addressed before they become recurring audit findings.</w:t>
      </w:r>
    </w:p>
    <w:p>
      <w:pPr>
        <w:pStyle w:val="Heading3"/>
      </w:pPr>
      <w:r>
        <w:t>Privacy risk is highest where personal data is decentralised</w:t>
      </w:r>
    </w:p>
    <w:p>
      <w:r>
        <w:t>The highest residual risks relate to shared drives, collaboration platforms, local exports, legacy systems, business-managed tools, and supplier platforms. These environments are harder to monitor, harder to delete from, and more dependent on local user behaviour.</w:t>
      </w:r>
    </w:p>
    <w:p>
      <w:r>
        <w:t>Central enterprise systems generally have clearer ownership, better security controls, and more mature procedures. Decentralised data repositories require stronger governance, automated controls where feasible, and clearer ownership.</w:t>
      </w:r>
    </w:p>
    <w:p>
      <w:pPr>
        <w:pStyle w:val="Heading3"/>
      </w:pPr>
      <w:r>
        <w:t>Retention remains the most significant control gap</w:t>
      </w:r>
    </w:p>
    <w:p>
      <w:r>
        <w:t>Retention rules are documented, but practical enforcement is inconsistent. This is a common maturity gap and presents legal, operational, and security risks. Retaining personal data longer than necessary increases exposure in the event of incident, dispute, access request, or supplier failure.</w:t>
      </w:r>
    </w:p>
    <w:p>
      <w:r>
        <w:t>Addressing retention will require coordinated work across Privacy, Legal, IT, Information Security, Records Management, and business owners. It will also require management support because technical changes, data mapping, and deletion automation may require funding and prioritisation.</w:t>
      </w:r>
    </w:p>
    <w:p>
      <w:pPr>
        <w:pStyle w:val="Heading3"/>
      </w:pPr>
      <w:r>
        <w:t>Supplier oversight has improved but requires stronger gating</w:t>
      </w:r>
    </w:p>
    <w:p>
      <w:r>
        <w:t>High-risk supplier reviews are generally completed, but medium-risk suppliers and business-led purchases remain a concern. Supplier privacy risk is not limited to large strategic vendors. Smaller cloud tools, analytics providers, recruitment tools, marketing platforms, and support applications may process meaningful volumes of personal data.</w:t>
      </w:r>
    </w:p>
    <w:p>
      <w:r>
        <w:t>Procurement and contract approval processes should prevent personal data processing from starting until privacy review, security review, contractual safeguards, and transfer checks are complete where required.</w:t>
      </w:r>
    </w:p>
    <w:p>
      <w:pPr>
        <w:pStyle w:val="Heading3"/>
      </w:pPr>
      <w:r>
        <w:t>Privacy by design should move earlier in the project lifecycle</w:t>
      </w:r>
    </w:p>
    <w:p>
      <w:r>
        <w:t>Privacy review is most effective when performed during concept, design, and procurement planning. Late-stage review can result in delays, rework, compromised controls, or residual risks that must be accepted under time pressure.</w:t>
      </w:r>
    </w:p>
    <w:p>
      <w:r>
        <w:t>The organisation should embed privacy screening into project intake, architecture review, vendor onboarding, product governance, and change management. This will improve consistency and reduce the burden on the Privacy Office.</w:t>
      </w:r>
    </w:p>
    <w:p>
      <w:pPr>
        <w:pStyle w:val="Heading3"/>
      </w:pPr>
      <w:r>
        <w:t>Training is effective but should become more role-specific</w:t>
      </w:r>
    </w:p>
    <w:p>
      <w:r>
        <w:t>General privacy training remains necessary, but the most meaningful risk reduction will come from targeted training for teams that routinely handle personal data or make decisions about data use. Marketing, Product, Engineering, HR, Customer Support, Procurement, and Finance should receive practical training tailored to their activities.</w:t>
      </w:r>
    </w:p>
    <w:p>
      <w:pPr>
        <w:pStyle w:val="Heading3"/>
      </w:pPr>
      <w:r>
        <w:t>Management oversight should focus on measurable outcomes</w:t>
      </w:r>
    </w:p>
    <w:p>
      <w:r>
        <w:t>The management body should continue to receive periodic privacy updates, but reporting should increasingly focus on measurable indicators, trends, overdue actions, high-risk decisions, and residual risk acceptance. This will support better prioritisation and provide stronger evidence of oversight.</w:t>
      </w:r>
    </w:p>
    <w:p>
      <w:r>
        <w:t>Suggested annual privacy programme indicators for management reporting:</w:t>
      </w:r>
    </w:p>
    <w:tbl>
      <w:tblPr>
        <w:tblStyle w:val="TableGrid"/>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Why It Matters</w:t>
            </w:r>
          </w:p>
        </w:tc>
      </w:tr>
      <w:tr>
        <w:tc>
          <w:tcPr>
            <w:tcW w:type="dxa" w:w="4320"/>
          </w:tcPr>
          <w:p>
            <w:r>
              <w:t>Open high-risk privacy actions</w:t>
            </w:r>
          </w:p>
        </w:tc>
        <w:tc>
          <w:tcPr>
            <w:tcW w:type="dxa" w:w="4320"/>
          </w:tcPr>
          <w:p>
            <w:r>
              <w:t>Shows whether material risks are being remediated.</w:t>
            </w:r>
          </w:p>
        </w:tc>
      </w:tr>
      <w:tr>
        <w:tc>
          <w:tcPr>
            <w:tcW w:type="dxa" w:w="4320"/>
          </w:tcPr>
          <w:p>
            <w:r>
              <w:t>Overdue data subject rights requests</w:t>
            </w:r>
          </w:p>
        </w:tc>
        <w:tc>
          <w:tcPr>
            <w:tcW w:type="dxa" w:w="4320"/>
          </w:tcPr>
          <w:p>
            <w:r>
              <w:t>Indicates operational compliance and customer impact.</w:t>
            </w:r>
          </w:p>
        </w:tc>
      </w:tr>
      <w:tr>
        <w:tc>
          <w:tcPr>
            <w:tcW w:type="dxa" w:w="4320"/>
          </w:tcPr>
          <w:p>
            <w:r>
              <w:t>Privacy incident volume and severity</w:t>
            </w:r>
          </w:p>
        </w:tc>
        <w:tc>
          <w:tcPr>
            <w:tcW w:type="dxa" w:w="4320"/>
          </w:tcPr>
          <w:p>
            <w:r>
              <w:t>Highlights control weaknesses and emerging trends.</w:t>
            </w:r>
          </w:p>
        </w:tc>
      </w:tr>
      <w:tr>
        <w:tc>
          <w:tcPr>
            <w:tcW w:type="dxa" w:w="4320"/>
          </w:tcPr>
          <w:p>
            <w:r>
              <w:t>High-risk supplier review completion</w:t>
            </w:r>
          </w:p>
        </w:tc>
        <w:tc>
          <w:tcPr>
            <w:tcW w:type="dxa" w:w="4320"/>
          </w:tcPr>
          <w:p>
            <w:r>
              <w:t>Demonstrates oversight of processors.</w:t>
            </w:r>
          </w:p>
        </w:tc>
      </w:tr>
      <w:tr>
        <w:tc>
          <w:tcPr>
            <w:tcW w:type="dxa" w:w="4320"/>
          </w:tcPr>
          <w:p>
            <w:r>
              <w:t>Retention implementation progress</w:t>
            </w:r>
          </w:p>
        </w:tc>
        <w:tc>
          <w:tcPr>
            <w:tcW w:type="dxa" w:w="4320"/>
          </w:tcPr>
          <w:p>
            <w:r>
              <w:t>Tracks reduction of unnecessary data exposure.</w:t>
            </w:r>
          </w:p>
        </w:tc>
      </w:tr>
      <w:tr>
        <w:tc>
          <w:tcPr>
            <w:tcW w:type="dxa" w:w="4320"/>
          </w:tcPr>
          <w:p>
            <w:r>
              <w:t>Training completion and overdue rates</w:t>
            </w:r>
          </w:p>
        </w:tc>
        <w:tc>
          <w:tcPr>
            <w:tcW w:type="dxa" w:w="4320"/>
          </w:tcPr>
          <w:p>
            <w:r>
              <w:t>Measures workforce awareness.</w:t>
            </w:r>
          </w:p>
        </w:tc>
      </w:tr>
      <w:tr>
        <w:tc>
          <w:tcPr>
            <w:tcW w:type="dxa" w:w="4320"/>
          </w:tcPr>
          <w:p>
            <w:r>
              <w:t>Processing record attestation completion</w:t>
            </w:r>
          </w:p>
        </w:tc>
        <w:tc>
          <w:tcPr>
            <w:tcW w:type="dxa" w:w="4320"/>
          </w:tcPr>
          <w:p>
            <w:r>
              <w:t>Evidences business accountability.</w:t>
            </w:r>
          </w:p>
        </w:tc>
      </w:tr>
      <w:tr>
        <w:tc>
          <w:tcPr>
            <w:tcW w:type="dxa" w:w="4320"/>
          </w:tcPr>
          <w:p>
            <w:r>
              <w:t>Privacy assessments completed before launch</w:t>
            </w:r>
          </w:p>
        </w:tc>
        <w:tc>
          <w:tcPr>
            <w:tcW w:type="dxa" w:w="4320"/>
          </w:tcPr>
          <w:p>
            <w:r>
              <w:t>Measures privacy by design effectiveness.</w:t>
            </w:r>
          </w:p>
        </w:tc>
      </w:tr>
    </w:tbl>
    <w:p>
      <w:pPr>
        <w:pStyle w:val="Heading2"/>
      </w:pPr>
      <w:r>
        <w:t>Recommendations &amp; Actions</w:t>
      </w:r>
    </w:p>
    <w:p>
      <w:r>
        <w:t>The following recommendations are proposed for approval and tracking during the next reporting period.</w:t>
      </w:r>
    </w:p>
    <w:p>
      <w:pPr>
        <w:pStyle w:val="Heading3"/>
      </w:pPr>
      <w:r>
        <w:t>Priority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Recommendation</w:t>
            </w:r>
          </w:p>
        </w:tc>
        <w:tc>
          <w:tcPr>
            <w:tcW w:type="dxa" w:w="1440"/>
          </w:tcPr>
          <w:p>
            <w:r>
              <w:t>Action Required</w:t>
            </w:r>
          </w:p>
        </w:tc>
        <w:tc>
          <w:tcPr>
            <w:tcW w:type="dxa" w:w="1440"/>
          </w:tcPr>
          <w:p>
            <w:r>
              <w:t>Owner</w:t>
            </w:r>
          </w:p>
        </w:tc>
        <w:tc>
          <w:tcPr>
            <w:tcW w:type="dxa" w:w="1440"/>
          </w:tcPr>
          <w:p>
            <w:r>
              <w:t>Target Date</w:t>
            </w:r>
          </w:p>
        </w:tc>
        <w:tc>
          <w:tcPr>
            <w:tcW w:type="dxa" w:w="1440"/>
          </w:tcPr>
          <w:p>
            <w:r>
              <w:t>Success Measure</w:t>
            </w:r>
          </w:p>
        </w:tc>
      </w:tr>
      <w:tr>
        <w:tc>
          <w:tcPr>
            <w:tcW w:type="dxa" w:w="1440"/>
          </w:tcPr>
          <w:p>
            <w:r>
              <w:t>High</w:t>
            </w:r>
          </w:p>
        </w:tc>
        <w:tc>
          <w:tcPr>
            <w:tcW w:type="dxa" w:w="1440"/>
          </w:tcPr>
          <w:p>
            <w:r>
              <w:t>Implement retention remediation plan</w:t>
            </w:r>
          </w:p>
        </w:tc>
        <w:tc>
          <w:tcPr>
            <w:tcW w:type="dxa" w:w="1440"/>
          </w:tcPr>
          <w:p>
            <w:r>
              <w:t>Identify priority systems and repositories, confirm retention rules, implement deletion or archiving controls, and retain deletion evidence.</w:t>
            </w:r>
          </w:p>
        </w:tc>
        <w:tc>
          <w:tcPr>
            <w:tcW w:type="dxa" w:w="1440"/>
          </w:tcPr>
          <w:p>
            <w:r>
              <w:t>Legal / Privacy Office / IT / Business Owners</w:t>
            </w:r>
          </w:p>
        </w:tc>
        <w:tc>
          <w:tcPr>
            <w:tcW w:type="dxa" w:w="1440"/>
          </w:tcPr>
          <w:p>
            <w:r>
              <w:t>[Date]</w:t>
            </w:r>
          </w:p>
        </w:tc>
        <w:tc>
          <w:tcPr>
            <w:tcW w:type="dxa" w:w="1440"/>
          </w:tcPr>
          <w:p>
            <w:r>
              <w:t>Retention implemented for agreed high-risk repositories; deletion evidence retained.</w:t>
            </w:r>
          </w:p>
        </w:tc>
      </w:tr>
      <w:tr>
        <w:tc>
          <w:tcPr>
            <w:tcW w:type="dxa" w:w="1440"/>
          </w:tcPr>
          <w:p>
            <w:r>
              <w:t>High</w:t>
            </w:r>
          </w:p>
        </w:tc>
        <w:tc>
          <w:tcPr>
            <w:tcW w:type="dxa" w:w="1440"/>
          </w:tcPr>
          <w:p>
            <w:r>
              <w:t>Strengthen supplier privacy gating</w:t>
            </w:r>
          </w:p>
        </w:tc>
        <w:tc>
          <w:tcPr>
            <w:tcW w:type="dxa" w:w="1440"/>
          </w:tcPr>
          <w:p>
            <w:r>
              <w:t>Require privacy review completion before onboarding or renewal for suppliers processing personal data, with escalation for exceptions.</w:t>
            </w:r>
          </w:p>
        </w:tc>
        <w:tc>
          <w:tcPr>
            <w:tcW w:type="dxa" w:w="1440"/>
          </w:tcPr>
          <w:p>
            <w:r>
              <w:t>Procurement / Privacy Office / Legal</w:t>
            </w:r>
          </w:p>
        </w:tc>
        <w:tc>
          <w:tcPr>
            <w:tcW w:type="dxa" w:w="1440"/>
          </w:tcPr>
          <w:p>
            <w:r>
              <w:t>[Date]</w:t>
            </w:r>
          </w:p>
        </w:tc>
        <w:tc>
          <w:tcPr>
            <w:tcW w:type="dxa" w:w="1440"/>
          </w:tcPr>
          <w:p>
            <w:r>
              <w:t>No high or medium-risk supplier goes live without documented review or approved exception.</w:t>
            </w:r>
          </w:p>
        </w:tc>
      </w:tr>
      <w:tr>
        <w:tc>
          <w:tcPr>
            <w:tcW w:type="dxa" w:w="1440"/>
          </w:tcPr>
          <w:p>
            <w:r>
              <w:t>High</w:t>
            </w:r>
          </w:p>
        </w:tc>
        <w:tc>
          <w:tcPr>
            <w:tcW w:type="dxa" w:w="1440"/>
          </w:tcPr>
          <w:p>
            <w:r>
              <w:t>Complete legacy supplier contract remediation</w:t>
            </w:r>
          </w:p>
        </w:tc>
        <w:tc>
          <w:tcPr>
            <w:tcW w:type="dxa" w:w="1440"/>
          </w:tcPr>
          <w:p>
            <w:r>
              <w:t>Prioritise suppliers by risk and update data processing terms, transfer safeguards, subprocessor obligations, and incident notification requirements.</w:t>
            </w:r>
          </w:p>
        </w:tc>
        <w:tc>
          <w:tcPr>
            <w:tcW w:type="dxa" w:w="1440"/>
          </w:tcPr>
          <w:p>
            <w:r>
              <w:t>Legal / Procurement</w:t>
            </w:r>
          </w:p>
        </w:tc>
        <w:tc>
          <w:tcPr>
            <w:tcW w:type="dxa" w:w="1440"/>
          </w:tcPr>
          <w:p>
            <w:r>
              <w:t>[Date]</w:t>
            </w:r>
          </w:p>
        </w:tc>
        <w:tc>
          <w:tcPr>
            <w:tcW w:type="dxa" w:w="1440"/>
          </w:tcPr>
          <w:p>
            <w:r>
              <w:t>[Percentage] of high-risk legacy suppliers remediated.</w:t>
            </w:r>
          </w:p>
        </w:tc>
      </w:tr>
      <w:tr>
        <w:tc>
          <w:tcPr>
            <w:tcW w:type="dxa" w:w="1440"/>
          </w:tcPr>
          <w:p>
            <w:r>
              <w:t>Medium-High</w:t>
            </w:r>
          </w:p>
        </w:tc>
        <w:tc>
          <w:tcPr>
            <w:tcW w:type="dxa" w:w="1440"/>
          </w:tcPr>
          <w:p>
            <w:r>
              <w:t>Embed privacy screening into project intake</w:t>
            </w:r>
          </w:p>
        </w:tc>
        <w:tc>
          <w:tcPr>
            <w:tcW w:type="dxa" w:w="1440"/>
          </w:tcPr>
          <w:p>
            <w:r>
              <w:t>Add mandatory privacy screening questions to project, product, IT change, and procurement workflows.</w:t>
            </w:r>
          </w:p>
        </w:tc>
        <w:tc>
          <w:tcPr>
            <w:tcW w:type="dxa" w:w="1440"/>
          </w:tcPr>
          <w:p>
            <w:r>
              <w:t>PMO / Product / IT / Privacy Office</w:t>
            </w:r>
          </w:p>
        </w:tc>
        <w:tc>
          <w:tcPr>
            <w:tcW w:type="dxa" w:w="1440"/>
          </w:tcPr>
          <w:p>
            <w:r>
              <w:t>[Date]</w:t>
            </w:r>
          </w:p>
        </w:tc>
        <w:tc>
          <w:tcPr>
            <w:tcW w:type="dxa" w:w="1440"/>
          </w:tcPr>
          <w:p>
            <w:r>
              <w:t>Screening completed for [Percentage] of relevant initiatives before design approval.</w:t>
            </w:r>
          </w:p>
        </w:tc>
      </w:tr>
      <w:tr>
        <w:tc>
          <w:tcPr>
            <w:tcW w:type="dxa" w:w="1440"/>
          </w:tcPr>
          <w:p>
            <w:r>
              <w:t>Medium-High</w:t>
            </w:r>
          </w:p>
        </w:tc>
        <w:tc>
          <w:tcPr>
            <w:tcW w:type="dxa" w:w="1440"/>
          </w:tcPr>
          <w:p>
            <w:r>
              <w:t>Improve records of processing attestation</w:t>
            </w:r>
          </w:p>
        </w:tc>
        <w:tc>
          <w:tcPr>
            <w:tcW w:type="dxa" w:w="1440"/>
          </w:tcPr>
          <w:p>
            <w:r>
              <w:t>Require quarterly confirmation for high-risk processing and annual confirmation for all other in-scope processing.</w:t>
            </w:r>
          </w:p>
        </w:tc>
        <w:tc>
          <w:tcPr>
            <w:tcW w:type="dxa" w:w="1440"/>
          </w:tcPr>
          <w:p>
            <w:r>
              <w:t>Privacy Office / Business Owners</w:t>
            </w:r>
          </w:p>
        </w:tc>
        <w:tc>
          <w:tcPr>
            <w:tcW w:type="dxa" w:w="1440"/>
          </w:tcPr>
          <w:p>
            <w:r>
              <w:t>[Date]</w:t>
            </w:r>
          </w:p>
        </w:tc>
        <w:tc>
          <w:tcPr>
            <w:tcW w:type="dxa" w:w="1440"/>
          </w:tcPr>
          <w:p>
            <w:r>
              <w:t>[Percentage] attestation completion by deadline.</w:t>
            </w:r>
          </w:p>
        </w:tc>
      </w:tr>
      <w:tr>
        <w:tc>
          <w:tcPr>
            <w:tcW w:type="dxa" w:w="1440"/>
          </w:tcPr>
          <w:p>
            <w:r>
              <w:t>Medium</w:t>
            </w:r>
          </w:p>
        </w:tc>
        <w:tc>
          <w:tcPr>
            <w:tcW w:type="dxa" w:w="1440"/>
          </w:tcPr>
          <w:p>
            <w:r>
              <w:t>Improve data subject rights playbooks</w:t>
            </w:r>
          </w:p>
        </w:tc>
        <w:tc>
          <w:tcPr>
            <w:tcW w:type="dxa" w:w="1440"/>
          </w:tcPr>
          <w:p>
            <w:r>
              <w:t>Document system search procedures, owner responsibilities, escalation points, and evidence retention requirements.</w:t>
            </w:r>
          </w:p>
        </w:tc>
        <w:tc>
          <w:tcPr>
            <w:tcW w:type="dxa" w:w="1440"/>
          </w:tcPr>
          <w:p>
            <w:r>
              <w:t>Privacy Office / IT / System Owners</w:t>
            </w:r>
          </w:p>
        </w:tc>
        <w:tc>
          <w:tcPr>
            <w:tcW w:type="dxa" w:w="1440"/>
          </w:tcPr>
          <w:p>
            <w:r>
              <w:t>[Date]</w:t>
            </w:r>
          </w:p>
        </w:tc>
        <w:tc>
          <w:tcPr>
            <w:tcW w:type="dxa" w:w="1440"/>
          </w:tcPr>
          <w:p>
            <w:r>
              <w:t>Reduction in average response time and overdue dependencies.</w:t>
            </w:r>
          </w:p>
        </w:tc>
      </w:tr>
      <w:tr>
        <w:tc>
          <w:tcPr>
            <w:tcW w:type="dxa" w:w="1440"/>
          </w:tcPr>
          <w:p>
            <w:r>
              <w:t>Medium</w:t>
            </w:r>
          </w:p>
        </w:tc>
        <w:tc>
          <w:tcPr>
            <w:tcW w:type="dxa" w:w="1440"/>
          </w:tcPr>
          <w:p>
            <w:r>
              <w:t>Strengthen marketing preference governance</w:t>
            </w:r>
          </w:p>
        </w:tc>
        <w:tc>
          <w:tcPr>
            <w:tcW w:type="dxa" w:w="1440"/>
          </w:tcPr>
          <w:p>
            <w:r>
              <w:t>Confirm ownership, document preference flows, test suppression lists, and retain evidence of opt-out execution.</w:t>
            </w:r>
          </w:p>
        </w:tc>
        <w:tc>
          <w:tcPr>
            <w:tcW w:type="dxa" w:w="1440"/>
          </w:tcPr>
          <w:p>
            <w:r>
              <w:t>Marketing / Privacy Office / IT</w:t>
            </w:r>
          </w:p>
        </w:tc>
        <w:tc>
          <w:tcPr>
            <w:tcW w:type="dxa" w:w="1440"/>
          </w:tcPr>
          <w:p>
            <w:r>
              <w:t>[Date]</w:t>
            </w:r>
          </w:p>
        </w:tc>
        <w:tc>
          <w:tcPr>
            <w:tcW w:type="dxa" w:w="1440"/>
          </w:tcPr>
          <w:p>
            <w:r>
              <w:t>End-to-end preference process documented and tested.</w:t>
            </w:r>
          </w:p>
        </w:tc>
      </w:tr>
      <w:tr>
        <w:tc>
          <w:tcPr>
            <w:tcW w:type="dxa" w:w="1440"/>
          </w:tcPr>
          <w:p>
            <w:r>
              <w:t>Medium</w:t>
            </w:r>
          </w:p>
        </w:tc>
        <w:tc>
          <w:tcPr>
            <w:tcW w:type="dxa" w:w="1440"/>
          </w:tcPr>
          <w:p>
            <w:r>
              <w:t>Expand role-based privacy training</w:t>
            </w:r>
          </w:p>
        </w:tc>
        <w:tc>
          <w:tcPr>
            <w:tcW w:type="dxa" w:w="1440"/>
          </w:tcPr>
          <w:p>
            <w:r>
              <w:t>Deliver tailored training for HR, Marketing, Product, Engineering, Procurement, Customer Support, and Finance.</w:t>
            </w:r>
          </w:p>
        </w:tc>
        <w:tc>
          <w:tcPr>
            <w:tcW w:type="dxa" w:w="1440"/>
          </w:tcPr>
          <w:p>
            <w:r>
              <w:t>Privacy Office / HR / Department Heads</w:t>
            </w:r>
          </w:p>
        </w:tc>
        <w:tc>
          <w:tcPr>
            <w:tcW w:type="dxa" w:w="1440"/>
          </w:tcPr>
          <w:p>
            <w:r>
              <w:t>[Date]</w:t>
            </w:r>
          </w:p>
        </w:tc>
        <w:tc>
          <w:tcPr>
            <w:tcW w:type="dxa" w:w="1440"/>
          </w:tcPr>
          <w:p>
            <w:r>
              <w:t>Training completion meets target for all priority groups.</w:t>
            </w:r>
          </w:p>
        </w:tc>
      </w:tr>
      <w:tr>
        <w:tc>
          <w:tcPr>
            <w:tcW w:type="dxa" w:w="1440"/>
          </w:tcPr>
          <w:p>
            <w:r>
              <w:t>Medium</w:t>
            </w:r>
          </w:p>
        </w:tc>
        <w:tc>
          <w:tcPr>
            <w:tcW w:type="dxa" w:w="1440"/>
          </w:tcPr>
          <w:p>
            <w:r>
              <w:t>Improve incident action closure evidence</w:t>
            </w:r>
          </w:p>
        </w:tc>
        <w:tc>
          <w:tcPr>
            <w:tcW w:type="dxa" w:w="1440"/>
          </w:tcPr>
          <w:p>
            <w:r>
              <w:t>Require documented root cause, corrective action owner, due date, and closure evidence for medium and high privacy incidents.</w:t>
            </w:r>
          </w:p>
        </w:tc>
        <w:tc>
          <w:tcPr>
            <w:tcW w:type="dxa" w:w="1440"/>
          </w:tcPr>
          <w:p>
            <w:r>
              <w:t>Information Security / Privacy Office / Business Owners</w:t>
            </w:r>
          </w:p>
        </w:tc>
        <w:tc>
          <w:tcPr>
            <w:tcW w:type="dxa" w:w="1440"/>
          </w:tcPr>
          <w:p>
            <w:r>
              <w:t>[Date]</w:t>
            </w:r>
          </w:p>
        </w:tc>
        <w:tc>
          <w:tcPr>
            <w:tcW w:type="dxa" w:w="1440"/>
          </w:tcPr>
          <w:p>
            <w:r>
              <w:t>[Percentage] of incident actions closed with evidence.</w:t>
            </w:r>
          </w:p>
        </w:tc>
      </w:tr>
      <w:tr>
        <w:tc>
          <w:tcPr>
            <w:tcW w:type="dxa" w:w="1440"/>
          </w:tcPr>
          <w:p>
            <w:r>
              <w:t>Medium</w:t>
            </w:r>
          </w:p>
        </w:tc>
        <w:tc>
          <w:tcPr>
            <w:tcW w:type="dxa" w:w="1440"/>
          </w:tcPr>
          <w:p>
            <w:r>
              <w:t>Monitor international transfer changes</w:t>
            </w:r>
          </w:p>
        </w:tc>
        <w:tc>
          <w:tcPr>
            <w:tcW w:type="dxa" w:w="1440"/>
          </w:tcPr>
          <w:p>
            <w:r>
              <w:t>Establish periodic review of supplier hosting locations, support access, subprocessors, and transfer safeguards.</w:t>
            </w:r>
          </w:p>
        </w:tc>
        <w:tc>
          <w:tcPr>
            <w:tcW w:type="dxa" w:w="1440"/>
          </w:tcPr>
          <w:p>
            <w:r>
              <w:t>Privacy Office / Procurement / Legal</w:t>
            </w:r>
          </w:p>
        </w:tc>
        <w:tc>
          <w:tcPr>
            <w:tcW w:type="dxa" w:w="1440"/>
          </w:tcPr>
          <w:p>
            <w:r>
              <w:t>[Date]</w:t>
            </w:r>
          </w:p>
        </w:tc>
        <w:tc>
          <w:tcPr>
            <w:tcW w:type="dxa" w:w="1440"/>
          </w:tcPr>
          <w:p>
            <w:r>
              <w:t>Transfer inventory updated and high-risk changes assessed.</w:t>
            </w:r>
          </w:p>
        </w:tc>
      </w:tr>
      <w:tr>
        <w:tc>
          <w:tcPr>
            <w:tcW w:type="dxa" w:w="1440"/>
          </w:tcPr>
          <w:p>
            <w:r>
              <w:t>Low-Medium</w:t>
            </w:r>
          </w:p>
        </w:tc>
        <w:tc>
          <w:tcPr>
            <w:tcW w:type="dxa" w:w="1440"/>
          </w:tcPr>
          <w:p>
            <w:r>
              <w:t>Standardise quarterly privacy reporting</w:t>
            </w:r>
          </w:p>
        </w:tc>
        <w:tc>
          <w:tcPr>
            <w:tcW w:type="dxa" w:w="1440"/>
          </w:tcPr>
          <w:p>
            <w:r>
              <w:t>Introduce consistent metrics, trend charts, risk status, overdue actions, and decisions required.</w:t>
            </w:r>
          </w:p>
        </w:tc>
        <w:tc>
          <w:tcPr>
            <w:tcW w:type="dxa" w:w="1440"/>
          </w:tcPr>
          <w:p>
            <w:r>
              <w:t>Privacy Office</w:t>
            </w:r>
          </w:p>
        </w:tc>
        <w:tc>
          <w:tcPr>
            <w:tcW w:type="dxa" w:w="1440"/>
          </w:tcPr>
          <w:p>
            <w:r>
              <w:t>[Date]</w:t>
            </w:r>
          </w:p>
        </w:tc>
        <w:tc>
          <w:tcPr>
            <w:tcW w:type="dxa" w:w="1440"/>
          </w:tcPr>
          <w:p>
            <w:r>
              <w:t>Quarterly reports issued using approved format.</w:t>
            </w:r>
          </w:p>
        </w:tc>
      </w:tr>
    </w:tbl>
    <w:p>
      <w:pPr>
        <w:pStyle w:val="Heading3"/>
      </w:pPr>
      <w:r>
        <w:t>Management Decisions and Support Required</w:t>
      </w:r>
    </w:p>
    <w:p>
      <w:r>
        <w:t>The following support is requested from the management body:</w:t>
      </w:r>
    </w:p>
    <w:tbl>
      <w:tblPr>
        <w:tblStyle w:val="TableGrid"/>
        <w:tblW w:type="auto" w:w="0"/>
        <w:tblLook w:firstColumn="1" w:firstRow="1" w:lastColumn="0" w:lastRow="0" w:noHBand="0" w:noVBand="1" w:val="04A0"/>
      </w:tblPr>
      <w:tblGrid>
        <w:gridCol w:w="2880"/>
        <w:gridCol w:w="2880"/>
        <w:gridCol w:w="2880"/>
      </w:tblGrid>
      <w:tr>
        <w:tc>
          <w:tcPr>
            <w:tcW w:type="dxa" w:w="2880"/>
          </w:tcPr>
          <w:p>
            <w:r>
              <w:t>Support Required</w:t>
            </w:r>
          </w:p>
        </w:tc>
        <w:tc>
          <w:tcPr>
            <w:tcW w:type="dxa" w:w="2880"/>
          </w:tcPr>
          <w:p>
            <w:r>
              <w:t>Reason</w:t>
            </w:r>
          </w:p>
        </w:tc>
        <w:tc>
          <w:tcPr>
            <w:tcW w:type="dxa" w:w="2880"/>
          </w:tcPr>
          <w:p>
            <w:r>
              <w:t>Consequence if Not Approved</w:t>
            </w:r>
          </w:p>
        </w:tc>
      </w:tr>
      <w:tr>
        <w:tc>
          <w:tcPr>
            <w:tcW w:type="dxa" w:w="2880"/>
          </w:tcPr>
          <w:p>
            <w:r>
              <w:t>Approve resources for retention remediation</w:t>
            </w:r>
          </w:p>
        </w:tc>
        <w:tc>
          <w:tcPr>
            <w:tcW w:type="dxa" w:w="2880"/>
          </w:tcPr>
          <w:p>
            <w:r>
              <w:t>Retention implementation requires business analysis, system configuration, deletion validation, and possible tooling.</w:t>
            </w:r>
          </w:p>
        </w:tc>
        <w:tc>
          <w:tcPr>
            <w:tcW w:type="dxa" w:w="2880"/>
          </w:tcPr>
          <w:p>
            <w:r>
              <w:t>Continued retention of unnecessary personal data and increased exposure during incidents or requests.</w:t>
            </w:r>
          </w:p>
        </w:tc>
      </w:tr>
      <w:tr>
        <w:tc>
          <w:tcPr>
            <w:tcW w:type="dxa" w:w="2880"/>
          </w:tcPr>
          <w:p>
            <w:r>
              <w:t>Enforce supplier review requirements</w:t>
            </w:r>
          </w:p>
        </w:tc>
        <w:tc>
          <w:tcPr>
            <w:tcW w:type="dxa" w:w="2880"/>
          </w:tcPr>
          <w:p>
            <w:r>
              <w:t>Privacy and contractual safeguards must be completed before personal data is processed by vendors.</w:t>
            </w:r>
          </w:p>
        </w:tc>
        <w:tc>
          <w:tcPr>
            <w:tcW w:type="dxa" w:w="2880"/>
          </w:tcPr>
          <w:p>
            <w:r>
              <w:t>Increased risk of non-compliant supplier processing and weak incident response rights.</w:t>
            </w:r>
          </w:p>
        </w:tc>
      </w:tr>
      <w:tr>
        <w:tc>
          <w:tcPr>
            <w:tcW w:type="dxa" w:w="2880"/>
          </w:tcPr>
          <w:p>
            <w:r>
              <w:t>Mandate business owner accountability</w:t>
            </w:r>
          </w:p>
        </w:tc>
        <w:tc>
          <w:tcPr>
            <w:tcW w:type="dxa" w:w="2880"/>
          </w:tcPr>
          <w:p>
            <w:r>
              <w:t>Processing records, assessments, and retention activities require timely owner input.</w:t>
            </w:r>
          </w:p>
        </w:tc>
        <w:tc>
          <w:tcPr>
            <w:tcW w:type="dxa" w:w="2880"/>
          </w:tcPr>
          <w:p>
            <w:r>
              <w:t>Privacy Office cannot maintain accurate accountability evidence alone.</w:t>
            </w:r>
          </w:p>
        </w:tc>
      </w:tr>
      <w:tr>
        <w:tc>
          <w:tcPr>
            <w:tcW w:type="dxa" w:w="2880"/>
          </w:tcPr>
          <w:p>
            <w:r>
              <w:t>Prioritise privacy by design in project governance</w:t>
            </w:r>
          </w:p>
        </w:tc>
        <w:tc>
          <w:tcPr>
            <w:tcW w:type="dxa" w:w="2880"/>
          </w:tcPr>
          <w:p>
            <w:r>
              <w:t>Privacy risks should be addressed before launch rather than remediated afterwards.</w:t>
            </w:r>
          </w:p>
        </w:tc>
        <w:tc>
          <w:tcPr>
            <w:tcW w:type="dxa" w:w="2880"/>
          </w:tcPr>
          <w:p>
            <w:r>
              <w:t>Higher likelihood of rework, launch delays, or residual risk acceptance.</w:t>
            </w:r>
          </w:p>
        </w:tc>
      </w:tr>
      <w:tr>
        <w:tc>
          <w:tcPr>
            <w:tcW w:type="dxa" w:w="2880"/>
          </w:tcPr>
          <w:p>
            <w:r>
              <w:t>Support role-based training participation</w:t>
            </w:r>
          </w:p>
        </w:tc>
        <w:tc>
          <w:tcPr>
            <w:tcW w:type="dxa" w:w="2880"/>
          </w:tcPr>
          <w:p>
            <w:r>
              <w:t>Higher-risk teams require practical guidance beyond annual training.</w:t>
            </w:r>
          </w:p>
        </w:tc>
        <w:tc>
          <w:tcPr>
            <w:tcW w:type="dxa" w:w="2880"/>
          </w:tcPr>
          <w:p>
            <w:r>
              <w:t>Continued dependence on general awareness and inconsistent local practice.</w:t>
            </w:r>
          </w:p>
        </w:tc>
      </w:tr>
    </w:tbl>
    <w:p>
      <w:pPr>
        <w:pStyle w:val="Heading3"/>
      </w:pPr>
      <w:r>
        <w:t>Proposed Next Reporting Period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Quarter</w:t>
            </w:r>
          </w:p>
        </w:tc>
        <w:tc>
          <w:tcPr>
            <w:tcW w:type="dxa" w:w="2880"/>
          </w:tcPr>
          <w:p>
            <w:r>
              <w:t>Milestone</w:t>
            </w:r>
          </w:p>
        </w:tc>
        <w:tc>
          <w:tcPr>
            <w:tcW w:type="dxa" w:w="2880"/>
          </w:tcPr>
          <w:p>
            <w:r>
              <w:t>Lead</w:t>
            </w:r>
          </w:p>
        </w:tc>
      </w:tr>
      <w:tr>
        <w:tc>
          <w:tcPr>
            <w:tcW w:type="dxa" w:w="2880"/>
          </w:tcPr>
          <w:p>
            <w:r>
              <w:t>Q1</w:t>
            </w:r>
          </w:p>
        </w:tc>
        <w:tc>
          <w:tcPr>
            <w:tcW w:type="dxa" w:w="2880"/>
          </w:tcPr>
          <w:p>
            <w:r>
              <w:t>Approve privacy action plan, confirm owners, and baseline current open risks.</w:t>
            </w:r>
          </w:p>
        </w:tc>
        <w:tc>
          <w:tcPr>
            <w:tcW w:type="dxa" w:w="2880"/>
          </w:tcPr>
          <w:p>
            <w:r>
              <w:t>Privacy Office / Management Body</w:t>
            </w:r>
          </w:p>
        </w:tc>
      </w:tr>
      <w:tr>
        <w:tc>
          <w:tcPr>
            <w:tcW w:type="dxa" w:w="2880"/>
          </w:tcPr>
          <w:p>
            <w:r>
              <w:t>Q1</w:t>
            </w:r>
          </w:p>
        </w:tc>
        <w:tc>
          <w:tcPr>
            <w:tcW w:type="dxa" w:w="2880"/>
          </w:tcPr>
          <w:p>
            <w:r>
              <w:t>Launch supplier gating enhancements and update procurement guidance.</w:t>
            </w:r>
          </w:p>
        </w:tc>
        <w:tc>
          <w:tcPr>
            <w:tcW w:type="dxa" w:w="2880"/>
          </w:tcPr>
          <w:p>
            <w:r>
              <w:t>Procurement / Privacy Office / Legal</w:t>
            </w:r>
          </w:p>
        </w:tc>
      </w:tr>
      <w:tr>
        <w:tc>
          <w:tcPr>
            <w:tcW w:type="dxa" w:w="2880"/>
          </w:tcPr>
          <w:p>
            <w:r>
              <w:t>Q2</w:t>
            </w:r>
          </w:p>
        </w:tc>
        <w:tc>
          <w:tcPr>
            <w:tcW w:type="dxa" w:w="2880"/>
          </w:tcPr>
          <w:p>
            <w:r>
              <w:t>Complete retention remediation planning for high-risk repositories.</w:t>
            </w:r>
          </w:p>
        </w:tc>
        <w:tc>
          <w:tcPr>
            <w:tcW w:type="dxa" w:w="2880"/>
          </w:tcPr>
          <w:p>
            <w:r>
              <w:t>IT / Legal / Privacy Office / Business Owners</w:t>
            </w:r>
          </w:p>
        </w:tc>
      </w:tr>
      <w:tr>
        <w:tc>
          <w:tcPr>
            <w:tcW w:type="dxa" w:w="2880"/>
          </w:tcPr>
          <w:p>
            <w:r>
              <w:t>Q2</w:t>
            </w:r>
          </w:p>
        </w:tc>
        <w:tc>
          <w:tcPr>
            <w:tcW w:type="dxa" w:w="2880"/>
          </w:tcPr>
          <w:p>
            <w:r>
              <w:t>Implement privacy screening in project and change intake workflows.</w:t>
            </w:r>
          </w:p>
        </w:tc>
        <w:tc>
          <w:tcPr>
            <w:tcW w:type="dxa" w:w="2880"/>
          </w:tcPr>
          <w:p>
            <w:r>
              <w:t>PMO / IT / Product / Privacy Office</w:t>
            </w:r>
          </w:p>
        </w:tc>
      </w:tr>
      <w:tr>
        <w:tc>
          <w:tcPr>
            <w:tcW w:type="dxa" w:w="2880"/>
          </w:tcPr>
          <w:p>
            <w:r>
              <w:t>Q3</w:t>
            </w:r>
          </w:p>
        </w:tc>
        <w:tc>
          <w:tcPr>
            <w:tcW w:type="dxa" w:w="2880"/>
          </w:tcPr>
          <w:p>
            <w:r>
              <w:t>Complete high-risk processing record attestations and update inventory.</w:t>
            </w:r>
          </w:p>
        </w:tc>
        <w:tc>
          <w:tcPr>
            <w:tcW w:type="dxa" w:w="2880"/>
          </w:tcPr>
          <w:p>
            <w:r>
              <w:t>Privacy Office / Business Owners</w:t>
            </w:r>
          </w:p>
        </w:tc>
      </w:tr>
      <w:tr>
        <w:tc>
          <w:tcPr>
            <w:tcW w:type="dxa" w:w="2880"/>
          </w:tcPr>
          <w:p>
            <w:r>
              <w:t>Q3</w:t>
            </w:r>
          </w:p>
        </w:tc>
        <w:tc>
          <w:tcPr>
            <w:tcW w:type="dxa" w:w="2880"/>
          </w:tcPr>
          <w:p>
            <w:r>
              <w:t>Deliver role-based training for priority functions.</w:t>
            </w:r>
          </w:p>
        </w:tc>
        <w:tc>
          <w:tcPr>
            <w:tcW w:type="dxa" w:w="2880"/>
          </w:tcPr>
          <w:p>
            <w:r>
              <w:t>Privacy Office / HR</w:t>
            </w:r>
          </w:p>
        </w:tc>
      </w:tr>
      <w:tr>
        <w:tc>
          <w:tcPr>
            <w:tcW w:type="dxa" w:w="2880"/>
          </w:tcPr>
          <w:p>
            <w:r>
              <w:t>Q4</w:t>
            </w:r>
          </w:p>
        </w:tc>
        <w:tc>
          <w:tcPr>
            <w:tcW w:type="dxa" w:w="2880"/>
          </w:tcPr>
          <w:p>
            <w:r>
              <w:t>Validate retention implementation evidence for priority systems.</w:t>
            </w:r>
          </w:p>
        </w:tc>
        <w:tc>
          <w:tcPr>
            <w:tcW w:type="dxa" w:w="2880"/>
          </w:tcPr>
          <w:p>
            <w:r>
              <w:t>IT / Privacy Office / Business Owners</w:t>
            </w:r>
          </w:p>
        </w:tc>
      </w:tr>
      <w:tr>
        <w:tc>
          <w:tcPr>
            <w:tcW w:type="dxa" w:w="2880"/>
          </w:tcPr>
          <w:p>
            <w:r>
              <w:t>Q4</w:t>
            </w:r>
          </w:p>
        </w:tc>
        <w:tc>
          <w:tcPr>
            <w:tcW w:type="dxa" w:w="2880"/>
          </w:tcPr>
          <w:p>
            <w:r>
              <w:t>Report action closure, residual risks, and next-year programme priorities to management.</w:t>
            </w:r>
          </w:p>
        </w:tc>
        <w:tc>
          <w:tcPr>
            <w:tcW w:type="dxa" w:w="2880"/>
          </w:tcPr>
          <w:p>
            <w:r>
              <w:t>Privacy Office</w:t>
            </w:r>
          </w:p>
        </w:tc>
      </w:tr>
    </w:tbl>
    <w:p>
      <w:pPr>
        <w:pStyle w:val="Heading3"/>
      </w:pPr>
      <w:r>
        <w:t>Risk Acceptance</w:t>
      </w:r>
    </w:p>
    <w:p>
      <w:r>
        <w:t>Where remediation cannot be completed by the proposed target date, the accountable business owner must submit a documented risk acceptance request to the Privacy Office and relevant governance forum. The request should include:</w:t>
      </w:r>
    </w:p>
    <w:p>
      <w:pPr>
        <w:pStyle w:val="ListBullet"/>
      </w:pPr>
      <w:r>
        <w:t>Description of the risk and affected processing.</w:t>
      </w:r>
    </w:p>
    <w:p>
      <w:pPr>
        <w:pStyle w:val="ListBullet"/>
      </w:pPr>
      <w:r>
        <w:t>Reason remediation cannot be completed on time.</w:t>
      </w:r>
    </w:p>
    <w:p>
      <w:pPr>
        <w:pStyle w:val="ListBullet"/>
      </w:pPr>
      <w:r>
        <w:t>Compensating controls in place.</w:t>
      </w:r>
    </w:p>
    <w:p>
      <w:pPr>
        <w:pStyle w:val="ListBullet"/>
      </w:pPr>
      <w:r>
        <w:t>Expected remediation date.</w:t>
      </w:r>
    </w:p>
    <w:p>
      <w:pPr>
        <w:pStyle w:val="ListBullet"/>
      </w:pPr>
      <w:r>
        <w:t>Business owner approval.</w:t>
      </w:r>
    </w:p>
    <w:p>
      <w:pPr>
        <w:pStyle w:val="ListBullet"/>
      </w:pPr>
      <w:r>
        <w:t>Privacy Office and Legal input where appropriate.</w:t>
      </w:r>
    </w:p>
    <w:p>
      <w:pPr>
        <w:pStyle w:val="ListBullet"/>
      </w:pPr>
      <w:r>
        <w:t>Management approval for high residual risks.</w:t>
      </w:r>
    </w:p>
    <w:p>
      <w:r>
        <w:t>Risk acceptance should be time-bound and reviewed at least quarterly until closure.</w:t>
      </w:r>
    </w:p>
    <w:p>
      <w:pPr>
        <w:pStyle w:val="Heading2"/>
      </w:pPr>
      <w:r>
        <w:t>Distribution &amp; Confidentiality</w:t>
      </w:r>
    </w:p>
    <w:p>
      <w:r>
        <w:t>This report is classified as Internal Confidential and is intended for the following recipients:</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Purpose</w:t>
            </w:r>
          </w:p>
        </w:tc>
      </w:tr>
      <w:tr>
        <w:tc>
          <w:tcPr>
            <w:tcW w:type="dxa" w:w="4320"/>
          </w:tcPr>
          <w:p>
            <w:r>
              <w:t>Management body / Board / Executive Committee</w:t>
            </w:r>
          </w:p>
        </w:tc>
        <w:tc>
          <w:tcPr>
            <w:tcW w:type="dxa" w:w="4320"/>
          </w:tcPr>
          <w:p>
            <w:r>
              <w:t>Oversight, decision-making, and resource approval.</w:t>
            </w:r>
          </w:p>
        </w:tc>
      </w:tr>
      <w:tr>
        <w:tc>
          <w:tcPr>
            <w:tcW w:type="dxa" w:w="4320"/>
          </w:tcPr>
          <w:p>
            <w:r>
              <w:t>Audit and Risk Committee</w:t>
            </w:r>
          </w:p>
        </w:tc>
        <w:tc>
          <w:tcPr>
            <w:tcW w:type="dxa" w:w="4320"/>
          </w:tcPr>
          <w:p>
            <w:r>
              <w:t>Risk monitoring and assurance planning.</w:t>
            </w:r>
          </w:p>
        </w:tc>
      </w:tr>
      <w:tr>
        <w:tc>
          <w:tcPr>
            <w:tcW w:type="dxa" w:w="4320"/>
          </w:tcPr>
          <w:p>
            <w:r>
              <w:t>Data Protection Officer / Privacy Office</w:t>
            </w:r>
          </w:p>
        </w:tc>
        <w:tc>
          <w:tcPr>
            <w:tcW w:type="dxa" w:w="4320"/>
          </w:tcPr>
          <w:p>
            <w:r>
              <w:t>Programme management and action tracking.</w:t>
            </w:r>
          </w:p>
        </w:tc>
      </w:tr>
      <w:tr>
        <w:tc>
          <w:tcPr>
            <w:tcW w:type="dxa" w:w="4320"/>
          </w:tcPr>
          <w:p>
            <w:r>
              <w:t>Legal</w:t>
            </w:r>
          </w:p>
        </w:tc>
        <w:tc>
          <w:tcPr>
            <w:tcW w:type="dxa" w:w="4320"/>
          </w:tcPr>
          <w:p>
            <w:r>
              <w:t>Legal oversight and regulatory readiness.</w:t>
            </w:r>
          </w:p>
        </w:tc>
      </w:tr>
      <w:tr>
        <w:tc>
          <w:tcPr>
            <w:tcW w:type="dxa" w:w="4320"/>
          </w:tcPr>
          <w:p>
            <w:r>
              <w:t>Information Security</w:t>
            </w:r>
          </w:p>
        </w:tc>
        <w:tc>
          <w:tcPr>
            <w:tcW w:type="dxa" w:w="4320"/>
          </w:tcPr>
          <w:p>
            <w:r>
              <w:t>Coordination on incident response, access controls, and technical safeguards.</w:t>
            </w:r>
          </w:p>
        </w:tc>
      </w:tr>
      <w:tr>
        <w:tc>
          <w:tcPr>
            <w:tcW w:type="dxa" w:w="4320"/>
          </w:tcPr>
          <w:p>
            <w:r>
              <w:t>IT Leadership</w:t>
            </w:r>
          </w:p>
        </w:tc>
        <w:tc>
          <w:tcPr>
            <w:tcW w:type="dxa" w:w="4320"/>
          </w:tcPr>
          <w:p>
            <w:r>
              <w:t>System remediation, retention implementation, and project governance.</w:t>
            </w:r>
          </w:p>
        </w:tc>
      </w:tr>
      <w:tr>
        <w:tc>
          <w:tcPr>
            <w:tcW w:type="dxa" w:w="4320"/>
          </w:tcPr>
          <w:p>
            <w:r>
              <w:t>Procurement</w:t>
            </w:r>
          </w:p>
        </w:tc>
        <w:tc>
          <w:tcPr>
            <w:tcW w:type="dxa" w:w="4320"/>
          </w:tcPr>
          <w:p>
            <w:r>
              <w:t>Supplier oversight and contract remediation.</w:t>
            </w:r>
          </w:p>
        </w:tc>
      </w:tr>
      <w:tr>
        <w:tc>
          <w:tcPr>
            <w:tcW w:type="dxa" w:w="4320"/>
          </w:tcPr>
          <w:p>
            <w:r>
              <w:t>HR</w:t>
            </w:r>
          </w:p>
        </w:tc>
        <w:tc>
          <w:tcPr>
            <w:tcW w:type="dxa" w:w="4320"/>
          </w:tcPr>
          <w:p>
            <w:r>
              <w:t>Training, employee data processing, and workforce privacy matters.</w:t>
            </w:r>
          </w:p>
        </w:tc>
      </w:tr>
      <w:tr>
        <w:tc>
          <w:tcPr>
            <w:tcW w:type="dxa" w:w="4320"/>
          </w:tcPr>
          <w:p>
            <w:r>
              <w:t>Relevant business owners</w:t>
            </w:r>
          </w:p>
        </w:tc>
        <w:tc>
          <w:tcPr>
            <w:tcW w:type="dxa" w:w="4320"/>
          </w:tcPr>
          <w:p>
            <w:r>
              <w:t>Action ownership and operational remediation.</w:t>
            </w:r>
          </w:p>
        </w:tc>
      </w:tr>
      <w:tr>
        <w:tc>
          <w:tcPr>
            <w:tcW w:type="dxa" w:w="4320"/>
          </w:tcPr>
          <w:p>
            <w:r>
              <w:t>Internal Audit</w:t>
            </w:r>
          </w:p>
        </w:tc>
        <w:tc>
          <w:tcPr>
            <w:tcW w:type="dxa" w:w="4320"/>
          </w:tcPr>
          <w:p>
            <w:r>
              <w:t>Assurance planning and validation of remediation.</w:t>
            </w:r>
          </w:p>
        </w:tc>
      </w:tr>
    </w:tbl>
    <w:p>
      <w:r>
        <w:t>Distribution restrictions:</w:t>
      </w:r>
    </w:p>
    <w:p>
      <w:pPr>
        <w:pStyle w:val="ListBullet"/>
      </w:pPr>
      <w:r>
        <w:t>This report must not be shared externally without approval from the Data Protection Officer / Privacy Office and Legal.</w:t>
      </w:r>
    </w:p>
    <w:p>
      <w:pPr>
        <w:pStyle w:val="ListBullet"/>
      </w:pPr>
      <w:r>
        <w:t>Extracts may be provided to auditors, regulators, customers, or suppliers only where approved and appropriately redacted.</w:t>
      </w:r>
    </w:p>
    <w:p>
      <w:pPr>
        <w:pStyle w:val="ListBullet"/>
      </w:pPr>
      <w:r>
        <w:t>Legal advice, privileged information, incident details, security vulnerabilities, supplier weaknesses, and employee-related matters must be protected from unauthorised disclosure.</w:t>
      </w:r>
    </w:p>
    <w:p>
      <w:pPr>
        <w:pStyle w:val="ListBullet"/>
      </w:pPr>
      <w:r>
        <w:t>Recipients must store the report in approved internal repositories with access limited to authorised personnel.</w:t>
      </w:r>
    </w:p>
    <w:p>
      <w:pPr>
        <w:pStyle w:val="ListBullet"/>
      </w:pPr>
      <w:r>
        <w:t>Printed copies, if any, must be controlled and securely destroyed when no longer required.</w:t>
      </w:r>
    </w:p>
    <w:p>
      <w:pPr>
        <w:pStyle w:val="ListBullet"/>
      </w:pPr>
      <w:r>
        <w:t>Any suspected unauthorised disclosure of this report must be reported immediately to the Privacy Office and Information Security.</w:t>
      </w:r>
    </w:p>
    <w:p>
      <w:r>
        <w:t>The Privacy Office is responsible for maintaining the final approved version of this report and tracking agreed actions through the privacy governance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