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Capacity Monitoring Records</w:t>
      </w:r>
    </w:p>
    <w:p>
      <w:pPr>
        <w:pStyle w:val="Heading2"/>
      </w:pPr>
      <w:r>
        <w:t>What This Evidences</w:t>
      </w:r>
    </w:p>
    <w:p>
      <w:r>
        <w:t>Capacity Monitoring Records evidence that the organisation monitors infrastructure and service capacity to support system availability commitments under SOC 2 availability control A1.1. This shows that capacity trends, utilisation thresholds, and potential resource constraints are tracked so the organisation can plan scaling, remediation, or service changes before availability is affected.</w:t>
      </w:r>
    </w:p>
    <w:p>
      <w:r>
        <w:t>This artifact is collected evidence, not an authored document. Do not create a narrative record manually. Collect screenshots, exports, or reports directly from the organisation’s monitoring, observability, cloud, or operational dashboard systems.</w:t>
      </w:r>
    </w:p>
    <w:p>
      <w:pPr>
        <w:pStyle w:val="Heading2"/>
      </w:pPr>
      <w:r>
        <w:t>Where To Collect It From</w:t>
      </w:r>
    </w:p>
    <w:p>
      <w:r>
        <w:t>Collect capacity monitoring evidence from the operational systems that track infrastructure and application utilisation, such as:</w:t>
      </w:r>
    </w:p>
    <w:p>
      <w:pPr>
        <w:pStyle w:val="ListBullet"/>
      </w:pPr>
      <w:r>
        <w:t>Observability or monitoring platform: [Datadog/New Relic/Dynatrace/Prometheus/Grafana/CloudWatch/Azure Monitor/Google Cloud Monitoring]</w:t>
      </w:r>
    </w:p>
    <w:p>
      <w:pPr>
        <w:pStyle w:val="ListBullet"/>
      </w:pPr>
      <w:r>
        <w:t>Cloud provider dashboards: [AWS/Azure/GCP] capacity, compute, storage, database, network, and autoscaling metrics</w:t>
      </w:r>
    </w:p>
    <w:p>
      <w:pPr>
        <w:pStyle w:val="ListBullet"/>
      </w:pPr>
      <w:r>
        <w:t>Kubernetes/container platform: [EKS/AKS/GKE/OpenShift] cluster, node, pod, CPU, memory, and storage dashboards</w:t>
      </w:r>
    </w:p>
    <w:p>
      <w:pPr>
        <w:pStyle w:val="ListBullet"/>
      </w:pPr>
      <w:r>
        <w:t>Database monitoring: [RDS/Cloud SQL/Azure SQL/Oracle/SQL Server monitoring tool]</w:t>
      </w:r>
    </w:p>
    <w:p>
      <w:pPr>
        <w:pStyle w:val="ListBullet"/>
      </w:pPr>
      <w:r>
        <w:t>ITSM or operations portal: [ServiceNow/Jira Service Management] for capacity-related alerts, incidents, or change records</w:t>
      </w:r>
    </w:p>
    <w:p>
      <w:pPr>
        <w:pStyle w:val="ListBullet"/>
      </w:pPr>
      <w:r>
        <w:t>BI or executive operations dashboard: [internal portal/tool name] if it aggregates capacity metrics from source systems</w:t>
      </w:r>
    </w:p>
    <w:p>
      <w:r>
        <w:t>Use the system of record where capacity data is generated or automatically aggregated.</w:t>
      </w:r>
    </w:p>
    <w:p>
      <w:pPr>
        <w:pStyle w:val="Heading2"/>
      </w:pPr>
      <w:r>
        <w:t>How To Collect</w:t>
      </w:r>
    </w:p>
    <w:p>
      <w:pPr>
        <w:pStyle w:val="ListBullet"/>
      </w:pPr>
      <w:r>
        <w:t>Log in to [monitoring/tool name] using an account with read-only or reporting access.</w:t>
      </w:r>
    </w:p>
    <w:p>
      <w:pPr>
        <w:pStyle w:val="ListBullet"/>
      </w:pPr>
      <w:r>
        <w:t>Navigate to the production environment dashboard for [system/service/application name].</w:t>
      </w:r>
    </w:p>
    <w:p>
      <w:pPr>
        <w:pStyle w:val="ListBullet"/>
      </w:pPr>
      <w:r>
        <w:t>Set the time range to the required review period, typically the prior [30/60/90] days or the audit sample period.</w:t>
      </w:r>
    </w:p>
    <w:p>
      <w:pPr>
        <w:pStyle w:val="ListBullet"/>
      </w:pPr>
      <w:r>
        <w:t>Filter to production workloads only, unless the control scope includes non-production environments.</w:t>
      </w:r>
    </w:p>
    <w:p>
      <w:pPr>
        <w:pStyle w:val="ListBullet"/>
      </w:pPr>
      <w:r>
        <w:t>Open dashboards showing key capacity dimensions, including compute, memory, storage, database, network, queue depth, and scaling activity as applicable.</w:t>
      </w:r>
    </w:p>
    <w:p>
      <w:pPr>
        <w:pStyle w:val="ListBullet"/>
      </w:pPr>
      <w:r>
        <w:t>Confirm the dashboard displays timestamps, metric names, system names, and thresholds or alert indicators.</w:t>
      </w:r>
    </w:p>
    <w:p>
      <w:pPr>
        <w:pStyle w:val="ListBullet"/>
      </w:pPr>
      <w:r>
        <w:t>Export the dashboard/report to PDF or CSV where supported.</w:t>
      </w:r>
    </w:p>
    <w:p>
      <w:pPr>
        <w:pStyle w:val="ListBullet"/>
      </w:pPr>
      <w:r>
        <w:t>If export is not available, capture full-screen screenshots showing the browser URL, timestamp, dashboard title, environment, and metric legends.</w:t>
      </w:r>
    </w:p>
    <w:p>
      <w:pPr>
        <w:pStyle w:val="ListBullet"/>
      </w:pPr>
      <w:r>
        <w:t>Collect related alert or ticket records for any threshold breaches, saturation events, or scaling actions during the period.</w:t>
      </w:r>
    </w:p>
    <w:p>
      <w:pPr>
        <w:pStyle w:val="ListBullet"/>
      </w:pPr>
      <w:r>
        <w:t>Save the evidence package to the approved audit evidence repository using the naming standard: [YYYY-MM-DD] Capacity Monitoring - [System] - [Period].</w:t>
      </w:r>
    </w:p>
    <w:p>
      <w:pPr>
        <w:pStyle w:val="Heading2"/>
      </w:pPr>
      <w:r>
        <w:t>What To Capture</w:t>
      </w:r>
    </w:p>
    <w:p>
      <w:r>
        <w:t>Capture enough detail to prove active capacity monitoring and planning. Include:</w:t>
      </w:r>
    </w:p>
    <w:p>
      <w:pPr>
        <w:pStyle w:val="ListBullet"/>
      </w:pPr>
      <w:r>
        <w:t>Dashboard name and source system: [tool name]</w:t>
      </w:r>
    </w:p>
    <w:p>
      <w:pPr>
        <w:pStyle w:val="ListBullet"/>
      </w:pPr>
      <w:r>
        <w:t>Environment: production / customer-facing / in-scope service</w:t>
      </w:r>
    </w:p>
    <w:p>
      <w:pPr>
        <w:pStyle w:val="ListBullet"/>
      </w:pPr>
      <w:r>
        <w:t>System, application, cluster, database, or service name</w:t>
      </w:r>
    </w:p>
    <w:p>
      <w:pPr>
        <w:pStyle w:val="ListBullet"/>
      </w:pPr>
      <w:r>
        <w:t>Time period covered</w:t>
      </w:r>
    </w:p>
    <w:p>
      <w:pPr>
        <w:pStyle w:val="ListBullet"/>
      </w:pPr>
      <w:r>
        <w:t>CPU utilisation trends</w:t>
      </w:r>
    </w:p>
    <w:p>
      <w:pPr>
        <w:pStyle w:val="ListBullet"/>
      </w:pPr>
      <w:r>
        <w:t>Memory utilisation trends</w:t>
      </w:r>
    </w:p>
    <w:p>
      <w:pPr>
        <w:pStyle w:val="ListBullet"/>
      </w:pPr>
      <w:r>
        <w:t>Disk/storage utilisation and growth trends</w:t>
      </w:r>
    </w:p>
    <w:p>
      <w:pPr>
        <w:pStyle w:val="ListBullet"/>
      </w:pPr>
      <w:r>
        <w:t>Database capacity metrics, where applicable</w:t>
      </w:r>
    </w:p>
    <w:p>
      <w:pPr>
        <w:pStyle w:val="ListBullet"/>
      </w:pPr>
      <w:r>
        <w:t>Network throughput or bandwidth utilisation, where applicable</w:t>
      </w:r>
    </w:p>
    <w:p>
      <w:pPr>
        <w:pStyle w:val="ListBullet"/>
      </w:pPr>
      <w:r>
        <w:t>Queue depth, connection pool, worker, or thread utilisation, where applicable</w:t>
      </w:r>
    </w:p>
    <w:p>
      <w:pPr>
        <w:pStyle w:val="ListBullet"/>
      </w:pPr>
      <w:r>
        <w:t>Autoscaling group or container scaling activity, where applicable</w:t>
      </w:r>
    </w:p>
    <w:p>
      <w:pPr>
        <w:pStyle w:val="ListBullet"/>
      </w:pPr>
      <w:r>
        <w:t>Capacity thresholds, alert levels, or saturation indicators</w:t>
      </w:r>
    </w:p>
    <w:p>
      <w:pPr>
        <w:pStyle w:val="ListBullet"/>
      </w:pPr>
      <w:r>
        <w:t>Current utilisation versus provisioned capacity</w:t>
      </w:r>
    </w:p>
    <w:p>
      <w:pPr>
        <w:pStyle w:val="ListBullet"/>
      </w:pPr>
      <w:r>
        <w:t>Forecasting, trendline, or growth projection, if available</w:t>
      </w:r>
    </w:p>
    <w:p>
      <w:pPr>
        <w:pStyle w:val="ListBullet"/>
      </w:pPr>
      <w:r>
        <w:t>Alert history for capacity-related events</w:t>
      </w:r>
    </w:p>
    <w:p>
      <w:pPr>
        <w:pStyle w:val="ListBullet"/>
      </w:pPr>
      <w:r>
        <w:t>Linked incident, problem, or change tickets for capacity actions</w:t>
      </w:r>
    </w:p>
    <w:p>
      <w:pPr>
        <w:pStyle w:val="ListBullet"/>
      </w:pPr>
      <w:r>
        <w:t>Evidence timestamp and collector name, if available from the tool or export</w:t>
      </w:r>
    </w:p>
    <w:p>
      <w:pPr>
        <w:pStyle w:val="Heading2"/>
      </w:pPr>
      <w:r>
        <w:t>Frequency &amp; Owner</w:t>
      </w:r>
    </w:p>
    <w:p>
      <w:pPr>
        <w:pStyle w:val="ListBullet"/>
      </w:pPr>
      <w:r>
        <w:t>Frequency: collect at least monthly, and additionally before each SOC 2 audit evidence request or after major infrastructure changes.</w:t>
      </w:r>
    </w:p>
    <w:p>
      <w:pPr>
        <w:pStyle w:val="ListBullet"/>
      </w:pPr>
      <w:r>
        <w:t>Owner: [Infrastructure Operations Owner / SRE Manager / Cloud Operations Lead].</w:t>
      </w:r>
    </w:p>
    <w:p>
      <w:pPr>
        <w:pStyle w:val="ListBullet"/>
      </w:pPr>
      <w:r>
        <w:t>Reviewer: [Head of Engineering / Platform Owner / Information Security Manager], where formal review is required.</w:t>
      </w:r>
    </w:p>
    <w:p>
      <w:pPr>
        <w:pStyle w:val="ListBullet"/>
      </w:pPr>
      <w:r>
        <w:t>Backup Owner: [Named backup role].</w:t>
      </w:r>
    </w:p>
    <w:p>
      <w:pPr>
        <w:pStyle w:val="Heading2"/>
      </w:pPr>
      <w:r>
        <w:t>Retention &amp; Storage</w:t>
      </w:r>
    </w:p>
    <w:p>
      <w:r>
        <w:t>Store exported reports, screenshots, and related tickets in [GRC platform/evidence repository/document management system]. Restrict access to authorised audit, security, and operations personnel.</w:t>
      </w:r>
    </w:p>
    <w:p>
      <w:r>
        <w:t>Retain records for at least [retention period, e.g. 12-24 months] or longer if required by customer commitments, audit cycle, or legal requirements. Preserve original exports where possible and avoid editing screenshots or reports except for approved redaction of secrets or personal data.</w:t>
      </w:r>
    </w:p>
    <w:p>
      <w:pPr>
        <w:pStyle w:val="Heading2"/>
      </w:pPr>
      <w:r>
        <w:t>Acceptance Criteria</w:t>
      </w:r>
    </w:p>
    <w:p>
      <w:r>
        <w:t>An auditor will generally accept the evidence when it:</w:t>
      </w:r>
    </w:p>
    <w:p>
      <w:pPr>
        <w:pStyle w:val="ListBullet"/>
      </w:pPr>
      <w:r>
        <w:t>Comes directly from an operational monitoring, cloud, observability, or ITSM system</w:t>
      </w:r>
    </w:p>
    <w:p>
      <w:pPr>
        <w:pStyle w:val="ListBullet"/>
      </w:pPr>
      <w:r>
        <w:t>Covers the relevant SOC 2 audit period or requested sample period</w:t>
      </w:r>
    </w:p>
    <w:p>
      <w:pPr>
        <w:pStyle w:val="ListBullet"/>
      </w:pPr>
      <w:r>
        <w:t>Clearly identifies the in-scope production system or service</w:t>
      </w:r>
    </w:p>
    <w:p>
      <w:pPr>
        <w:pStyle w:val="ListBullet"/>
      </w:pPr>
      <w:r>
        <w:t>Shows capacity metrics over time, not only a single point-in-time value</w:t>
      </w:r>
    </w:p>
    <w:p>
      <w:pPr>
        <w:pStyle w:val="ListBullet"/>
      </w:pPr>
      <w:r>
        <w:t>Includes key utilisation dimensions such as compute, memory, storage, database, and network where applicable</w:t>
      </w:r>
    </w:p>
    <w:p>
      <w:pPr>
        <w:pStyle w:val="ListBullet"/>
      </w:pPr>
      <w:r>
        <w:t>Shows thresholds, alerts, trendlines, or scaling indicators used for capacity management</w:t>
      </w:r>
    </w:p>
    <w:p>
      <w:pPr>
        <w:pStyle w:val="ListBullet"/>
      </w:pPr>
      <w:r>
        <w:t>Demonstrates that capacity issues are detected and followed up through alerts, tickets, changes, or scaling actions</w:t>
      </w:r>
    </w:p>
    <w:p>
      <w:pPr>
        <w:pStyle w:val="ListBullet"/>
      </w:pPr>
      <w:r>
        <w:t>Includes timestamps and source system context</w:t>
      </w:r>
    </w:p>
    <w:p>
      <w:pPr>
        <w:pStyle w:val="ListBullet"/>
      </w:pPr>
      <w:r>
        <w:t>Is retained in the approved evidence repository with a clear file name and collection date</w:t>
      </w:r>
    </w:p>
    <w:p>
      <w:pPr>
        <w:pStyle w:val="ListBullet"/>
      </w:pPr>
      <w:r>
        <w:t>Is complete enough for the auditor to understand how the organisation monitors capacity to support availability commitments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