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Workstation Use &amp; Security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[POL-HIPAA-WS-001]</w:t>
            </w:r>
          </w:p>
        </w:tc>
        <w:tc>
          <w:tcPr>
            <w:tcW w:type="dxa" w:w="1440"/>
          </w:tcPr>
          <w:p>
            <w:r>
              <w:t>1.0</w:t>
            </w:r>
          </w:p>
        </w:tc>
        <w:tc>
          <w:tcPr>
            <w:tcW w:type="dxa" w:w="1440"/>
          </w:tcPr>
          <w:p>
            <w:r>
              <w:t>Privacy Officer / Security Officer</w:t>
            </w:r>
          </w:p>
        </w:tc>
        <w:tc>
          <w:tcPr>
            <w:tcW w:type="dxa" w:w="1440"/>
          </w:tcPr>
          <w:p>
            <w:r>
              <w:t>[Effective Date]</w:t>
            </w:r>
          </w:p>
        </w:tc>
        <w:tc>
          <w:tcPr>
            <w:tcW w:type="dxa" w:w="1440"/>
          </w:tcPr>
          <w:p>
            <w:r>
              <w:t>HIPAA</w:t>
            </w:r>
          </w:p>
        </w:tc>
        <w:tc>
          <w:tcPr>
            <w:tcW w:type="dxa" w:w="1440"/>
          </w:tcPr>
          <w:p>
            <w:r>
              <w:t>Internal Use</w:t>
            </w:r>
          </w:p>
        </w:tc>
      </w:tr>
    </w:tbl>
    <w:p>
      <w:pPr>
        <w:pStyle w:val="Heading2"/>
      </w:pPr>
      <w:r>
        <w:t>Purpose</w:t>
      </w:r>
    </w:p>
    <w:p>
      <w:r>
        <w:t>The purpose of this Workstation Use &amp; Security Policy is to establish mandatory requirements for the appropriate use, placement, configuration, and physical safeguarding of workstations that access, store, process, transmit, or display electronic protected health information.</w:t>
      </w:r>
    </w:p>
    <w:p>
      <w:r>
        <w:t>This policy supports the organization’s obligation to protect the confidentiality, integrity, and availability of electronic protected health information by reducing the risk of unauthorized access, disclosure, alteration, theft, loss, or viewing of information through workstation misuse or inadequate physical safeguards.</w:t>
      </w:r>
    </w:p>
    <w:p>
      <w:pPr>
        <w:pStyle w:val="Heading2"/>
      </w:pPr>
      <w:r>
        <w:t>Scope</w:t>
      </w:r>
    </w:p>
    <w:p>
      <w:r>
        <w:t>This policy applies to:</w:t>
      </w:r>
    </w:p>
    <w:p>
      <w:pPr>
        <w:pStyle w:val="ListBullet"/>
      </w:pPr>
      <w:r>
        <w:t>All workforce members, including employees, medical staff, contractors, consultants, interns, volunteers, temporary staff, and third parties who use organizational workstations.</w:t>
      </w:r>
    </w:p>
    <w:p>
      <w:pPr>
        <w:pStyle w:val="ListBullet"/>
      </w:pPr>
      <w:r>
        <w:t>All workstations owned, leased, managed, or approved by the organization.</w:t>
      </w:r>
    </w:p>
    <w:p>
      <w:pPr>
        <w:pStyle w:val="ListBullet"/>
      </w:pPr>
      <w:r>
        <w:t>Any workstation used to access organizational systems or electronic protected health information, including:</w:t>
      </w:r>
    </w:p>
    <w:p>
      <w:pPr>
        <w:pStyle w:val="ListBullet"/>
      </w:pPr>
      <w:r>
        <w:t>Desktop computers.</w:t>
      </w:r>
    </w:p>
    <w:p>
      <w:pPr>
        <w:pStyle w:val="ListBullet"/>
      </w:pPr>
      <w:r>
        <w:t>Laptop computers.</w:t>
      </w:r>
    </w:p>
    <w:p>
      <w:pPr>
        <w:pStyle w:val="ListBullet"/>
      </w:pPr>
      <w:r>
        <w:t>Thin clients.</w:t>
      </w:r>
    </w:p>
    <w:p>
      <w:pPr>
        <w:pStyle w:val="ListBullet"/>
      </w:pPr>
      <w:r>
        <w:t>Shared clinical workstations.</w:t>
      </w:r>
    </w:p>
    <w:p>
      <w:pPr>
        <w:pStyle w:val="ListBullet"/>
      </w:pPr>
      <w:r>
        <w:t>Registration, billing, scheduling, and administrative workstations.</w:t>
      </w:r>
    </w:p>
    <w:p>
      <w:pPr>
        <w:pStyle w:val="ListBullet"/>
      </w:pPr>
      <w:r>
        <w:t>Workstations on wheels and mobile clinical carts.</w:t>
      </w:r>
    </w:p>
    <w:p>
      <w:pPr>
        <w:pStyle w:val="ListBullet"/>
      </w:pPr>
      <w:r>
        <w:t>Kiosks or dedicated-use terminals.</w:t>
      </w:r>
    </w:p>
    <w:p>
      <w:pPr>
        <w:pStyle w:val="ListBullet"/>
      </w:pPr>
      <w:r>
        <w:t>Workstations used in remote or hybrid work locations.</w:t>
      </w:r>
    </w:p>
    <w:p>
      <w:pPr>
        <w:pStyle w:val="ListBullet"/>
      </w:pPr>
      <w:r>
        <w:t>All locations where workstations may be used, including:</w:t>
      </w:r>
    </w:p>
    <w:p>
      <w:pPr>
        <w:pStyle w:val="ListBullet"/>
      </w:pPr>
      <w:r>
        <w:t>Clinical areas.</w:t>
      </w:r>
    </w:p>
    <w:p>
      <w:pPr>
        <w:pStyle w:val="ListBullet"/>
      </w:pPr>
      <w:r>
        <w:t>Administrative offices.</w:t>
      </w:r>
    </w:p>
    <w:p>
      <w:pPr>
        <w:pStyle w:val="ListBullet"/>
      </w:pPr>
      <w:r>
        <w:t>Patient intake and waiting areas.</w:t>
      </w:r>
    </w:p>
    <w:p>
      <w:pPr>
        <w:pStyle w:val="ListBullet"/>
      </w:pPr>
      <w:r>
        <w:t>Nursing stations.</w:t>
      </w:r>
    </w:p>
    <w:p>
      <w:pPr>
        <w:pStyle w:val="ListBullet"/>
      </w:pPr>
      <w:r>
        <w:t>Laboratories.</w:t>
      </w:r>
    </w:p>
    <w:p>
      <w:pPr>
        <w:pStyle w:val="ListBullet"/>
      </w:pPr>
      <w:r>
        <w:t>Pharmacies.</w:t>
      </w:r>
    </w:p>
    <w:p>
      <w:pPr>
        <w:pStyle w:val="ListBullet"/>
      </w:pPr>
      <w:r>
        <w:t>Billing and coding areas.</w:t>
      </w:r>
    </w:p>
    <w:p>
      <w:pPr>
        <w:pStyle w:val="ListBullet"/>
      </w:pPr>
      <w:r>
        <w:t>Home offices.</w:t>
      </w:r>
    </w:p>
    <w:p>
      <w:pPr>
        <w:pStyle w:val="ListBullet"/>
      </w:pPr>
      <w:r>
        <w:t>Third-party or hosted work environments, where approved.</w:t>
      </w:r>
    </w:p>
    <w:p>
      <w:r>
        <w:t>This policy applies whether the workstation is connected to the organization’s network directly, remotely, wirelessly, through a virtual desktop, or through an approved cloud-based application.</w:t>
      </w:r>
    </w:p>
    <w:p>
      <w:r>
        <w:t>This policy does not replace more detailed technical standards, acceptable use requirements, remote work requirements, device management standards, or incident response procedures. Where multiple requirements apply, the more protective requirement shall be followed.</w:t>
      </w:r>
    </w:p>
    <w:p>
      <w:pPr>
        <w:pStyle w:val="Heading2"/>
      </w:pPr>
      <w:r>
        <w:t>Policy Statements</w:t>
      </w:r>
    </w:p>
    <w:p>
      <w:pPr>
        <w:pStyle w:val="ListBullet"/>
      </w:pPr>
      <w:r>
        <w:t>The organization shall define and enforce appropriate workstation use requirements for all workstations that access, process, store, transmit, or display electronic protected health information.</w:t>
      </w:r>
    </w:p>
    <w:p>
      <w:pPr>
        <w:pStyle w:val="ListBullet"/>
      </w:pPr>
      <w:r>
        <w:t>Workforce members shall use workstations only for authorized business, clinical, operational, educational, or administrative purposes approved by the organization.</w:t>
      </w:r>
    </w:p>
    <w:p>
      <w:pPr>
        <w:pStyle w:val="ListBullet"/>
      </w:pPr>
      <w:r>
        <w:t>Workforce members shall not use workstations to access, view, retrieve, disclose, copy, download, print, transmit, or store electronic protected health information unless such access is necessary to perform assigned job duties.</w:t>
      </w:r>
    </w:p>
    <w:p>
      <w:pPr>
        <w:pStyle w:val="ListBullet"/>
      </w:pPr>
      <w:r>
        <w:t>Workforce members shall access only the minimum information necessary to perform their assigned responsibilities, except where broader access is required for treatment, authorized operations, or another approved business purpose.</w:t>
      </w:r>
    </w:p>
    <w:p>
      <w:pPr>
        <w:pStyle w:val="ListBullet"/>
      </w:pPr>
      <w:r>
        <w:t>Workforce members shall authenticate using their own assigned credentials before accessing any workstation, application, system, or service containing electronic protected health information.</w:t>
      </w:r>
    </w:p>
    <w:p>
      <w:pPr>
        <w:pStyle w:val="ListBullet"/>
      </w:pPr>
      <w:r>
        <w:t>Workforce members shall not share passwords, authentication tokens, smart cards, badges, multifactor authentication prompts, or other access credentials used to access workstations or systems.</w:t>
      </w:r>
    </w:p>
    <w:p>
      <w:pPr>
        <w:pStyle w:val="ListBullet"/>
      </w:pPr>
      <w:r>
        <w:t>Workforce members shall not allow another person to use a workstation under their authenticated session.</w:t>
      </w:r>
    </w:p>
    <w:p>
      <w:pPr>
        <w:pStyle w:val="ListBullet"/>
      </w:pPr>
      <w:r>
        <w:t>Workforce members shall log off, lock, or otherwise secure workstations before leaving them unattended, including for short periods.</w:t>
      </w:r>
    </w:p>
    <w:p>
      <w:pPr>
        <w:pStyle w:val="ListBullet"/>
      </w:pPr>
      <w:r>
        <w:t>Workstations shall be configured to automatically lock after a defined period of inactivity based on location and risk.</w:t>
      </w:r>
    </w:p>
    <w:tbl>
      <w:tblPr>
        <w:tblStyle w:val="TableGrid"/>
        <w:tblW w:type="auto" w:w="0"/>
        <w:tblLook w:firstColumn="1" w:firstRow="1" w:lastColumn="0" w:lastRow="0" w:noHBand="0" w:noVBand="1" w:val="04A0"/>
      </w:tblPr>
      <w:tblGrid>
        <w:gridCol w:w="2880"/>
        <w:gridCol w:w="2880"/>
        <w:gridCol w:w="2880"/>
      </w:tblGrid>
      <w:tr>
        <w:tc>
          <w:tcPr>
            <w:tcW w:type="dxa" w:w="2880"/>
          </w:tcPr>
          <w:p>
            <w:r>
              <w:t>Workstation Location or Use Case</w:t>
            </w:r>
          </w:p>
        </w:tc>
        <w:tc>
          <w:tcPr>
            <w:tcW w:type="dxa" w:w="2880"/>
          </w:tcPr>
          <w:p>
            <w:r>
              <w:t>Maximum Inactivity Period Before Lock</w:t>
            </w:r>
          </w:p>
        </w:tc>
        <w:tc>
          <w:tcPr>
            <w:tcW w:type="dxa" w:w="2880"/>
          </w:tcPr>
          <w:p>
            <w:r>
              <w:t>Additional Requirement</w:t>
            </w:r>
          </w:p>
        </w:tc>
      </w:tr>
      <w:tr>
        <w:tc>
          <w:tcPr>
            <w:tcW w:type="dxa" w:w="2880"/>
          </w:tcPr>
          <w:p>
            <w:r>
              <w:t>Shared clinical workstation in patient care areas</w:t>
            </w:r>
          </w:p>
        </w:tc>
        <w:tc>
          <w:tcPr>
            <w:tcW w:type="dxa" w:w="2880"/>
          </w:tcPr>
          <w:p>
            <w:r>
              <w:t>[5 minutes]</w:t>
            </w:r>
          </w:p>
        </w:tc>
        <w:tc>
          <w:tcPr>
            <w:tcW w:type="dxa" w:w="2880"/>
          </w:tcPr>
          <w:p>
            <w:r>
              <w:t>Session shall require re-authentication or approved rapid secure re-entry</w:t>
            </w:r>
          </w:p>
        </w:tc>
      </w:tr>
      <w:tr>
        <w:tc>
          <w:tcPr>
            <w:tcW w:type="dxa" w:w="2880"/>
          </w:tcPr>
          <w:p>
            <w:r>
              <w:t>Registration, intake, billing, or reception workstation</w:t>
            </w:r>
          </w:p>
        </w:tc>
        <w:tc>
          <w:tcPr>
            <w:tcW w:type="dxa" w:w="2880"/>
          </w:tcPr>
          <w:p>
            <w:r>
              <w:t>[10 minutes]</w:t>
            </w:r>
          </w:p>
        </w:tc>
        <w:tc>
          <w:tcPr>
            <w:tcW w:type="dxa" w:w="2880"/>
          </w:tcPr>
          <w:p>
            <w:r>
              <w:t>Screen shall not be visible to unauthorized individuals</w:t>
            </w:r>
          </w:p>
        </w:tc>
      </w:tr>
      <w:tr>
        <w:tc>
          <w:tcPr>
            <w:tcW w:type="dxa" w:w="2880"/>
          </w:tcPr>
          <w:p>
            <w:r>
              <w:t>Administrative workstation in restricted office area</w:t>
            </w:r>
          </w:p>
        </w:tc>
        <w:tc>
          <w:tcPr>
            <w:tcW w:type="dxa" w:w="2880"/>
          </w:tcPr>
          <w:p>
            <w:r>
              <w:t>[15 minutes]</w:t>
            </w:r>
          </w:p>
        </w:tc>
        <w:tc>
          <w:tcPr>
            <w:tcW w:type="dxa" w:w="2880"/>
          </w:tcPr>
          <w:p>
            <w:r>
              <w:t>Screen lock shall require user re-authentication</w:t>
            </w:r>
          </w:p>
        </w:tc>
      </w:tr>
      <w:tr>
        <w:tc>
          <w:tcPr>
            <w:tcW w:type="dxa" w:w="2880"/>
          </w:tcPr>
          <w:p>
            <w:r>
              <w:t>Remote work workstation</w:t>
            </w:r>
          </w:p>
        </w:tc>
        <w:tc>
          <w:tcPr>
            <w:tcW w:type="dxa" w:w="2880"/>
          </w:tcPr>
          <w:p>
            <w:r>
              <w:t>[10 minutes]</w:t>
            </w:r>
          </w:p>
        </w:tc>
        <w:tc>
          <w:tcPr>
            <w:tcW w:type="dxa" w:w="2880"/>
          </w:tcPr>
          <w:p>
            <w:r>
              <w:t>Full device lock shall be enabled</w:t>
            </w:r>
          </w:p>
        </w:tc>
      </w:tr>
      <w:tr>
        <w:tc>
          <w:tcPr>
            <w:tcW w:type="dxa" w:w="2880"/>
          </w:tcPr>
          <w:p>
            <w:r>
              <w:t>Public-facing kiosk or dedicated terminal</w:t>
            </w:r>
          </w:p>
        </w:tc>
        <w:tc>
          <w:tcPr>
            <w:tcW w:type="dxa" w:w="2880"/>
          </w:tcPr>
          <w:p>
            <w:r>
              <w:t>[2 minutes]</w:t>
            </w:r>
          </w:p>
        </w:tc>
        <w:tc>
          <w:tcPr>
            <w:tcW w:type="dxa" w:w="2880"/>
          </w:tcPr>
          <w:p>
            <w:r>
              <w:t>Application shall restrict access to approved functions only</w:t>
            </w:r>
          </w:p>
        </w:tc>
      </w:tr>
    </w:tbl>
    <w:p>
      <w:pPr>
        <w:pStyle w:val="ListBullet"/>
      </w:pPr>
      <w:r>
        <w:t>Workstations shall be positioned, shielded, or otherwise arranged to reduce the likelihood that electronic protected health information can be viewed by patients, visitors, vendors, or unauthorized workforce members.</w:t>
      </w:r>
    </w:p>
    <w:p>
      <w:pPr>
        <w:pStyle w:val="ListBullet"/>
      </w:pPr>
      <w:r>
        <w:t>Workforce members shall use privacy screens, monitor positioning, workstation placement, or other approved safeguards when workstations are located in open, public, semi-public, or high-traffic areas.</w:t>
      </w:r>
    </w:p>
    <w:p>
      <w:pPr>
        <w:pStyle w:val="ListBullet"/>
      </w:pPr>
      <w:r>
        <w:t>Workstations located in patient rooms, hallways, nursing stations, waiting areas, registration areas, or other public-facing spaces shall be configured and positioned to limit unauthorized viewing of electronic protected health information.</w:t>
      </w:r>
    </w:p>
    <w:p>
      <w:pPr>
        <w:pStyle w:val="ListBullet"/>
      </w:pPr>
      <w:r>
        <w:t>Workstations shall not be left displaying electronic protected health information when the information is no longer actively needed.</w:t>
      </w:r>
    </w:p>
    <w:p>
      <w:pPr>
        <w:pStyle w:val="ListBullet"/>
      </w:pPr>
      <w:r>
        <w:t>Workforce members shall not discuss, display, or access electronic protected health information at a workstation in a manner that allows unauthorized individuals to view or overhear confidential information.</w:t>
      </w:r>
    </w:p>
    <w:p>
      <w:pPr>
        <w:pStyle w:val="ListBullet"/>
      </w:pPr>
      <w:r>
        <w:t>Workstations shall be physically protected against unauthorized access, tampering, theft, and environmental hazards using safeguards appropriate to the location and use of the workstation.</w:t>
      </w:r>
    </w:p>
    <w:p>
      <w:pPr>
        <w:pStyle w:val="ListBullet"/>
      </w:pPr>
      <w:r>
        <w:t>Desktop workstations in restricted areas shall be placed in controlled locations and secured through facility access controls, locked rooms, cable locks, locked cabinets, or other approved physical safeguards when warranted by risk.</w:t>
      </w:r>
    </w:p>
    <w:p>
      <w:pPr>
        <w:pStyle w:val="ListBullet"/>
      </w:pPr>
      <w:r>
        <w:t>Laptops, tablets, mobile workstations, and portable computing devices shall be physically secured when not in use, including storage in a locked drawer, cabinet, office, docking station, cart, or other approved secure location.</w:t>
      </w:r>
    </w:p>
    <w:p>
      <w:pPr>
        <w:pStyle w:val="ListBullet"/>
      </w:pPr>
      <w:r>
        <w:t>Workstations shall not be relocated, reassigned, repurposed, loaned, disposed of, or removed from organizational premises without approval from Information Technology or another authorized function.</w:t>
      </w:r>
    </w:p>
    <w:p>
      <w:pPr>
        <w:pStyle w:val="ListBullet"/>
      </w:pPr>
      <w:r>
        <w:t>Workforce members shall not connect unauthorized personal devices, removable media, peripherals, storage devices, or networking equipment to organizational workstations.</w:t>
      </w:r>
    </w:p>
    <w:p>
      <w:pPr>
        <w:pStyle w:val="ListBullet"/>
      </w:pPr>
      <w:r>
        <w:t>Workforce members shall not install, disable, bypass, or modify software, security tools, hardware, operating system settings, browser extensions, encryption settings, logging tools, endpoint protection, or configuration controls unless authorized by Information Technology.</w:t>
      </w:r>
    </w:p>
    <w:p>
      <w:pPr>
        <w:pStyle w:val="ListBullet"/>
      </w:pPr>
      <w:r>
        <w:t>Workstations used to access electronic protected health information shall be configured, managed, and maintained according to organization-approved security baselines.</w:t>
      </w:r>
    </w:p>
    <w:p>
      <w:pPr>
        <w:pStyle w:val="ListBullet"/>
      </w:pPr>
      <w:r>
        <w:t>Workstations shall use organization-approved endpoint protection, encryption, access control, patch management, logging, and monitoring capabilities appropriate to their purpose and risk.</w:t>
      </w:r>
    </w:p>
    <w:p>
      <w:pPr>
        <w:pStyle w:val="ListBullet"/>
      </w:pPr>
      <w:r>
        <w:t>Workstations shall not be used to store electronic protected health information locally unless there is a documented business need, the storage is approved, and required security safeguards are implemented.</w:t>
      </w:r>
    </w:p>
    <w:p>
      <w:pPr>
        <w:pStyle w:val="ListBullet"/>
      </w:pPr>
      <w:r>
        <w:t>Electronic protected health information stored locally on approved workstations shall be encrypted where technically feasible and shall be removed when no longer required for the approved business purpose.</w:t>
      </w:r>
    </w:p>
    <w:p>
      <w:pPr>
        <w:pStyle w:val="ListBullet"/>
      </w:pPr>
      <w:r>
        <w:t>Workforce members shall save electronic protected health information only in approved applications, repositories, network locations, electronic health record systems, document management systems, or other authorized storage locations.</w:t>
      </w:r>
    </w:p>
    <w:p>
      <w:pPr>
        <w:pStyle w:val="ListBullet"/>
      </w:pPr>
      <w:r>
        <w:t>Workforce members shall not store electronic protected health information on local desktops, personal folders, temporary folders, unapproved cloud storage, personal email, consumer messaging platforms, or unapproved removable media.</w:t>
      </w:r>
    </w:p>
    <w:p>
      <w:pPr>
        <w:pStyle w:val="ListBullet"/>
      </w:pPr>
      <w:r>
        <w:t>Printing, scanning, faxing, copying, downloading, exporting, or screen capturing electronic protected health information from a workstation shall be limited to approved business purposes and performed in a manner that prevents unauthorized access or disclosure.</w:t>
      </w:r>
    </w:p>
    <w:p>
      <w:pPr>
        <w:pStyle w:val="ListBullet"/>
      </w:pPr>
      <w:r>
        <w:t>Printed materials containing protected health information shall be retrieved promptly, secured during use, and disposed of in approved confidential disposal containers or through approved destruction methods.</w:t>
      </w:r>
    </w:p>
    <w:p>
      <w:pPr>
        <w:pStyle w:val="ListBullet"/>
      </w:pPr>
      <w:r>
        <w:t>Shared workstations shall be configured to support individual user authentication, session separation, access controls, and auditability.</w:t>
      </w:r>
    </w:p>
    <w:p>
      <w:pPr>
        <w:pStyle w:val="ListBullet"/>
      </w:pPr>
      <w:r>
        <w:t>Generic or shared workstation accounts shall not be used to access electronic protected health information unless specifically approved for a limited operational purpose and supported by compensating controls that preserve accountability.</w:t>
      </w:r>
    </w:p>
    <w:p>
      <w:pPr>
        <w:pStyle w:val="ListBullet"/>
      </w:pPr>
      <w:r>
        <w:t>Workstations used in clinical emergencies or time-sensitive care settings shall be configured to balance patient safety and information protection, including appropriate safeguards for emergency access, timeout, and audit review.</w:t>
      </w:r>
    </w:p>
    <w:p>
      <w:pPr>
        <w:pStyle w:val="ListBullet"/>
      </w:pPr>
      <w:r>
        <w:t>Public-access workstations, kiosks, guest devices, and patient-facing terminals shall not provide access to internal systems or electronic protected health information unless explicitly approved and technically restricted to the intended function.</w:t>
      </w:r>
    </w:p>
    <w:p>
      <w:pPr>
        <w:pStyle w:val="ListBullet"/>
      </w:pPr>
      <w:r>
        <w:t>Remote workstations used to access electronic protected health information shall comply with organization-approved remote access, device management, encryption, network security, and physical security requirements.</w:t>
      </w:r>
    </w:p>
    <w:p>
      <w:pPr>
        <w:pStyle w:val="ListBullet"/>
      </w:pPr>
      <w:r>
        <w:t>Workforce members working remotely shall protect workstation screens from unauthorized viewing by household members, visitors, roommates, public bystanders, or other unauthorized individuals.</w:t>
      </w:r>
    </w:p>
    <w:p>
      <w:pPr>
        <w:pStyle w:val="ListBullet"/>
      </w:pPr>
      <w:r>
        <w:t>Workforce members shall not access electronic protected health information from public or unsecured workstations, including hotel business centers, public libraries, shared personal computers, internet cafés, or unapproved borrowed devices.</w:t>
      </w:r>
    </w:p>
    <w:p>
      <w:pPr>
        <w:pStyle w:val="ListBullet"/>
      </w:pPr>
      <w:r>
        <w:t>Workforce members shall not leave organizational laptops or portable workstations unattended in vehicles, public locations, conference areas, airports, restaurants, hotel lobbies, or other unsecured environments unless secured in accordance with organizational requirements.</w:t>
      </w:r>
    </w:p>
    <w:p>
      <w:pPr>
        <w:pStyle w:val="ListBullet"/>
      </w:pPr>
      <w:r>
        <w:t>If temporary storage of a portable workstation in a vehicle is unavoidable, the device shall be powered off, locked, kept out of sight, and secured in the trunk or other concealed compartment for the minimum time necessary.</w:t>
      </w:r>
    </w:p>
    <w:p>
      <w:pPr>
        <w:pStyle w:val="ListBullet"/>
      </w:pPr>
      <w:r>
        <w:t>Workstations shall be protected from environmental risks, including spills, heat, water damage, electrical hazards, excessive dust, obstructed ventilation, and unsafe placement.</w:t>
      </w:r>
    </w:p>
    <w:p>
      <w:pPr>
        <w:pStyle w:val="ListBullet"/>
      </w:pPr>
      <w:r>
        <w:t>Workstations in clinical or operational environments shall be positioned so that cables, carts, and peripherals do not create safety hazards or obstruct care delivery, emergency access, exits, or required equipment.</w:t>
      </w:r>
    </w:p>
    <w:p>
      <w:pPr>
        <w:pStyle w:val="ListBullet"/>
      </w:pPr>
      <w:r>
        <w:t>Workstations that are lost, stolen, damaged, tampered with, infected with malware, accessed by an unauthorized person, or suspected of exposing electronic protected health information shall be reported immediately through the organization’s incident reporting process.</w:t>
      </w:r>
    </w:p>
    <w:p>
      <w:pPr>
        <w:pStyle w:val="ListBullet"/>
      </w:pPr>
      <w:r>
        <w:t>Workforce members shall promptly report any observed failure of workstation safeguards, including unattended active sessions, visible protected health information, missing devices, unauthorized software, suspicious activity, or physical security concerns.</w:t>
      </w:r>
    </w:p>
    <w:p>
      <w:pPr>
        <w:pStyle w:val="ListBullet"/>
      </w:pPr>
      <w:r>
        <w:t>Information Technology shall disable, isolate, recover, reimage, or remove from service any workstation suspected of compromise, unauthorized modification, malware infection, or other condition that may place electronic protected health information at risk.</w:t>
      </w:r>
    </w:p>
    <w:p>
      <w:pPr>
        <w:pStyle w:val="ListBullet"/>
      </w:pPr>
      <w:r>
        <w:t>Workstations shall be inventoried and assigned to an accountable owner, department, location, or user, as appropriate.</w:t>
      </w:r>
    </w:p>
    <w:p>
      <w:pPr>
        <w:pStyle w:val="ListBullet"/>
      </w:pPr>
      <w:r>
        <w:t>The organization shall maintain records sufficient to identify workstation assignment, location, configuration status, lifecycle state, and disposition.</w:t>
      </w:r>
    </w:p>
    <w:p>
      <w:pPr>
        <w:pStyle w:val="ListBullet"/>
      </w:pPr>
      <w:r>
        <w:t>Workstations shall be securely sanitized, reimaged, repurposed, returned, or disposed of using approved methods before reassignment, repair, recycling, return to vendor, donation, or destruction.</w:t>
      </w:r>
    </w:p>
    <w:p>
      <w:pPr>
        <w:pStyle w:val="ListBullet"/>
      </w:pPr>
      <w:r>
        <w:t>Vendors, contractors, and service personnel shall not access, repair, replace, or remove workstations that may contain or access electronic protected health information unless authorized and supervised or otherwise controlled according to organizational requirements.</w:t>
      </w:r>
    </w:p>
    <w:p>
      <w:pPr>
        <w:pStyle w:val="ListBullet"/>
      </w:pPr>
      <w:r>
        <w:t>Workforce members shall complete required privacy and security training before being granted access to workstations that access electronic protected health information.</w:t>
      </w:r>
    </w:p>
    <w:p>
      <w:pPr>
        <w:pStyle w:val="ListBullet"/>
      </w:pPr>
      <w:r>
        <w:t>Workforce members shall follow all workstation use and security requirements communicated through training, system banners, job aids, standards, procedures, and management instructions.</w:t>
      </w:r>
    </w:p>
    <w:p>
      <w:pPr>
        <w:pStyle w:val="ListBullet"/>
      </w:pPr>
      <w:r>
        <w:t>The organization shall implement additional workstation safeguards where risk assessments, incident history, audits, regulatory expectations, or operational changes indicate a need for stronger protection.</w:t>
      </w:r>
    </w:p>
    <w:p>
      <w:pPr>
        <w:pStyle w:val="ListBullet"/>
      </w:pPr>
      <w:r>
        <w:t>Department leaders shall ensure workstation placement and use within their areas support patient privacy, workforce productivity, safety, and information security.</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Leadership</w:t>
            </w:r>
          </w:p>
        </w:tc>
        <w:tc>
          <w:tcPr>
            <w:tcW w:type="dxa" w:w="4320"/>
          </w:tcPr>
          <w:p>
            <w:r>
              <w:t>Approves and supports the enforcement of this policy; ensures sufficient resources are available to implement workstation safeguards.</w:t>
            </w:r>
          </w:p>
        </w:tc>
      </w:tr>
      <w:tr>
        <w:tc>
          <w:tcPr>
            <w:tcW w:type="dxa" w:w="4320"/>
          </w:tcPr>
          <w:p>
            <w:r>
              <w:t>Privacy Officer</w:t>
            </w:r>
          </w:p>
        </w:tc>
        <w:tc>
          <w:tcPr>
            <w:tcW w:type="dxa" w:w="4320"/>
          </w:tcPr>
          <w:p>
            <w:r>
              <w:t>Provides oversight for privacy requirements related to workstation use, viewing, disclosure, printing, and handling of protected health information.</w:t>
            </w:r>
          </w:p>
        </w:tc>
      </w:tr>
      <w:tr>
        <w:tc>
          <w:tcPr>
            <w:tcW w:type="dxa" w:w="4320"/>
          </w:tcPr>
          <w:p>
            <w:r>
              <w:t>Security Officer</w:t>
            </w:r>
          </w:p>
        </w:tc>
        <w:tc>
          <w:tcPr>
            <w:tcW w:type="dxa" w:w="4320"/>
          </w:tcPr>
          <w:p>
            <w:r>
              <w:t>Owns security governance for workstation safeguards; coordinates risk assessments, monitoring expectations, enforcement activities, and policy maintenance.</w:t>
            </w:r>
          </w:p>
        </w:tc>
      </w:tr>
      <w:tr>
        <w:tc>
          <w:tcPr>
            <w:tcW w:type="dxa" w:w="4320"/>
          </w:tcPr>
          <w:p>
            <w:r>
              <w:t>Information Technology</w:t>
            </w:r>
          </w:p>
        </w:tc>
        <w:tc>
          <w:tcPr>
            <w:tcW w:type="dxa" w:w="4320"/>
          </w:tcPr>
          <w:p>
            <w:r>
              <w:t>Configures, deploys, secures, monitors, patches, supports, inventories, and retires workstations; implements technical safeguards such as encryption, screen lock, endpoint protection, access control, and device management.</w:t>
            </w:r>
          </w:p>
        </w:tc>
      </w:tr>
      <w:tr>
        <w:tc>
          <w:tcPr>
            <w:tcW w:type="dxa" w:w="4320"/>
          </w:tcPr>
          <w:p>
            <w:r>
              <w:t>Facilities / Physical Security</w:t>
            </w:r>
          </w:p>
        </w:tc>
        <w:tc>
          <w:tcPr>
            <w:tcW w:type="dxa" w:w="4320"/>
          </w:tcPr>
          <w:p>
            <w:r>
              <w:t>Supports physical safeguards for workstation placement, restricted areas, locks, access controls, environmental protections, and secure storage.</w:t>
            </w:r>
          </w:p>
        </w:tc>
      </w:tr>
      <w:tr>
        <w:tc>
          <w:tcPr>
            <w:tcW w:type="dxa" w:w="4320"/>
          </w:tcPr>
          <w:p>
            <w:r>
              <w:t>Department Managers</w:t>
            </w:r>
          </w:p>
        </w:tc>
        <w:tc>
          <w:tcPr>
            <w:tcW w:type="dxa" w:w="4320"/>
          </w:tcPr>
          <w:p>
            <w:r>
              <w:t>Ensure workforce members follow this policy; approve workstation locations and use cases; report noncompliance; ensure local practices protect electronic protected health information.</w:t>
            </w:r>
          </w:p>
        </w:tc>
      </w:tr>
      <w:tr>
        <w:tc>
          <w:tcPr>
            <w:tcW w:type="dxa" w:w="4320"/>
          </w:tcPr>
          <w:p>
            <w:r>
              <w:t>Workforce Members</w:t>
            </w:r>
          </w:p>
        </w:tc>
        <w:tc>
          <w:tcPr>
            <w:tcW w:type="dxa" w:w="4320"/>
          </w:tcPr>
          <w:p>
            <w:r>
              <w:t>Use workstations appropriately; protect credentials; secure screens and devices; prevent unauthorized viewing; report incidents, lost devices, suspicious activity, and policy violations.</w:t>
            </w:r>
          </w:p>
        </w:tc>
      </w:tr>
      <w:tr>
        <w:tc>
          <w:tcPr>
            <w:tcW w:type="dxa" w:w="4320"/>
          </w:tcPr>
          <w:p>
            <w:r>
              <w:t>Compliance / Internal Audit</w:t>
            </w:r>
          </w:p>
        </w:tc>
        <w:tc>
          <w:tcPr>
            <w:tcW w:type="dxa" w:w="4320"/>
          </w:tcPr>
          <w:p>
            <w:r>
              <w:t>Performs periodic reviews, audits, and compliance assessments related to workstation use and physical safeguards.</w:t>
            </w:r>
          </w:p>
        </w:tc>
      </w:tr>
      <w:tr>
        <w:tc>
          <w:tcPr>
            <w:tcW w:type="dxa" w:w="4320"/>
          </w:tcPr>
          <w:p>
            <w:r>
              <w:t>Third Parties and Vendors</w:t>
            </w:r>
          </w:p>
        </w:tc>
        <w:tc>
          <w:tcPr>
            <w:tcW w:type="dxa" w:w="4320"/>
          </w:tcPr>
          <w:p>
            <w:r>
              <w:t>Follow contractual and organizational requirements when accessing, supporting, repairing, or handling workstations or systems containing electronic protected health information.</w:t>
            </w:r>
          </w:p>
        </w:tc>
      </w:tr>
    </w:tbl>
    <w:p>
      <w:pPr>
        <w:pStyle w:val="Heading2"/>
      </w:pPr>
      <w:r>
        <w:t>Compliance, Monitoring &amp; Enforcement</w:t>
      </w:r>
    </w:p>
    <w:p>
      <w:r>
        <w:t>Compliance with this policy is mandatory. The organization shall monitor adherence through a combination of technical, administrative, and physical review activities.</w:t>
      </w:r>
    </w:p>
    <w:p>
      <w:r>
        <w:t>Monitoring activities may include:</w:t>
      </w:r>
    </w:p>
    <w:p>
      <w:pPr>
        <w:pStyle w:val="ListBullet"/>
      </w:pPr>
      <w:r>
        <w:t>Review of workstation configuration compliance.</w:t>
      </w:r>
    </w:p>
    <w:p>
      <w:pPr>
        <w:pStyle w:val="ListBullet"/>
      </w:pPr>
      <w:r>
        <w:t>Endpoint protection and patch status monitoring.</w:t>
      </w:r>
    </w:p>
    <w:p>
      <w:pPr>
        <w:pStyle w:val="ListBullet"/>
      </w:pPr>
      <w:r>
        <w:t>Encryption and device management reporting.</w:t>
      </w:r>
    </w:p>
    <w:p>
      <w:pPr>
        <w:pStyle w:val="ListBullet"/>
      </w:pPr>
      <w:r>
        <w:t>Screen lock and session timeout validation.</w:t>
      </w:r>
    </w:p>
    <w:p>
      <w:pPr>
        <w:pStyle w:val="ListBullet"/>
      </w:pPr>
      <w:r>
        <w:t>Physical walkthroughs of clinical and administrative areas.</w:t>
      </w:r>
    </w:p>
    <w:p>
      <w:pPr>
        <w:pStyle w:val="ListBullet"/>
      </w:pPr>
      <w:r>
        <w:t>Review of workstation placement in public or patient-facing areas.</w:t>
      </w:r>
    </w:p>
    <w:p>
      <w:pPr>
        <w:pStyle w:val="ListBullet"/>
      </w:pPr>
      <w:r>
        <w:t>Audit log review for inappropriate access or unusual activity.</w:t>
      </w:r>
    </w:p>
    <w:p>
      <w:pPr>
        <w:pStyle w:val="ListBullet"/>
      </w:pPr>
      <w:r>
        <w:t>Inventory reconciliation.</w:t>
      </w:r>
    </w:p>
    <w:p>
      <w:pPr>
        <w:pStyle w:val="ListBullet"/>
      </w:pPr>
      <w:r>
        <w:t>Review of remote access and device compliance.</w:t>
      </w:r>
    </w:p>
    <w:p>
      <w:pPr>
        <w:pStyle w:val="ListBullet"/>
      </w:pPr>
      <w:r>
        <w:t>Investigation of reported incidents, lost devices, or privacy concerns.</w:t>
      </w:r>
    </w:p>
    <w:p>
      <w:pPr>
        <w:pStyle w:val="ListBullet"/>
      </w:pPr>
      <w:r>
        <w:t>Validation of secure disposal, reassignment, or return processes.</w:t>
      </w:r>
    </w:p>
    <w:p>
      <w:pPr>
        <w:pStyle w:val="ListBullet"/>
      </w:pPr>
      <w:r>
        <w:t>Periodic privacy and security risk assessments.</w:t>
      </w:r>
    </w:p>
    <w:p>
      <w:r>
        <w:t>Minimum expected review activities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w:t>
            </w:r>
          </w:p>
        </w:tc>
        <w:tc>
          <w:tcPr>
            <w:tcW w:type="dxa" w:w="2160"/>
          </w:tcPr>
          <w:p>
            <w:r>
              <w:t>Responsible Function</w:t>
            </w:r>
          </w:p>
        </w:tc>
        <w:tc>
          <w:tcPr>
            <w:tcW w:type="dxa" w:w="2160"/>
          </w:tcPr>
          <w:p>
            <w:r>
              <w:t>Evidence</w:t>
            </w:r>
          </w:p>
        </w:tc>
      </w:tr>
      <w:tr>
        <w:tc>
          <w:tcPr>
            <w:tcW w:type="dxa" w:w="2160"/>
          </w:tcPr>
          <w:p>
            <w:r>
              <w:t>Workstation configuration compliance review</w:t>
            </w:r>
          </w:p>
        </w:tc>
        <w:tc>
          <w:tcPr>
            <w:tcW w:type="dxa" w:w="2160"/>
          </w:tcPr>
          <w:p>
            <w:r>
              <w:t>At least quarterly</w:t>
            </w:r>
          </w:p>
        </w:tc>
        <w:tc>
          <w:tcPr>
            <w:tcW w:type="dxa" w:w="2160"/>
          </w:tcPr>
          <w:p>
            <w:r>
              <w:t>Information Technology</w:t>
            </w:r>
          </w:p>
        </w:tc>
        <w:tc>
          <w:tcPr>
            <w:tcW w:type="dxa" w:w="2160"/>
          </w:tcPr>
          <w:p>
            <w:r>
              <w:t>Device compliance report, remediation ticket records</w:t>
            </w:r>
          </w:p>
        </w:tc>
      </w:tr>
      <w:tr>
        <w:tc>
          <w:tcPr>
            <w:tcW w:type="dxa" w:w="2160"/>
          </w:tcPr>
          <w:p>
            <w:r>
              <w:t>Physical workstation safeguard walkthrough</w:t>
            </w:r>
          </w:p>
        </w:tc>
        <w:tc>
          <w:tcPr>
            <w:tcW w:type="dxa" w:w="2160"/>
          </w:tcPr>
          <w:p>
            <w:r>
              <w:t>At least annually and after major layout changes</w:t>
            </w:r>
          </w:p>
        </w:tc>
        <w:tc>
          <w:tcPr>
            <w:tcW w:type="dxa" w:w="2160"/>
          </w:tcPr>
          <w:p>
            <w:r>
              <w:t>Security Officer / Privacy Officer / Facilities</w:t>
            </w:r>
          </w:p>
        </w:tc>
        <w:tc>
          <w:tcPr>
            <w:tcW w:type="dxa" w:w="2160"/>
          </w:tcPr>
          <w:p>
            <w:r>
              <w:t>Walkthrough checklist, findings, remediation actions</w:t>
            </w:r>
          </w:p>
        </w:tc>
      </w:tr>
      <w:tr>
        <w:tc>
          <w:tcPr>
            <w:tcW w:type="dxa" w:w="2160"/>
          </w:tcPr>
          <w:p>
            <w:r>
              <w:t>Inventory reconciliation</w:t>
            </w:r>
          </w:p>
        </w:tc>
        <w:tc>
          <w:tcPr>
            <w:tcW w:type="dxa" w:w="2160"/>
          </w:tcPr>
          <w:p>
            <w:r>
              <w:t>At least annually</w:t>
            </w:r>
          </w:p>
        </w:tc>
        <w:tc>
          <w:tcPr>
            <w:tcW w:type="dxa" w:w="2160"/>
          </w:tcPr>
          <w:p>
            <w:r>
              <w:t>Information Technology</w:t>
            </w:r>
          </w:p>
        </w:tc>
        <w:tc>
          <w:tcPr>
            <w:tcW w:type="dxa" w:w="2160"/>
          </w:tcPr>
          <w:p>
            <w:r>
              <w:t>Asset inventory report, exception list</w:t>
            </w:r>
          </w:p>
        </w:tc>
      </w:tr>
      <w:tr>
        <w:tc>
          <w:tcPr>
            <w:tcW w:type="dxa" w:w="2160"/>
          </w:tcPr>
          <w:p>
            <w:r>
              <w:t>Remote workstation compliance review</w:t>
            </w:r>
          </w:p>
        </w:tc>
        <w:tc>
          <w:tcPr>
            <w:tcW w:type="dxa" w:w="2160"/>
          </w:tcPr>
          <w:p>
            <w:r>
              <w:t>At least quarterly</w:t>
            </w:r>
          </w:p>
        </w:tc>
        <w:tc>
          <w:tcPr>
            <w:tcW w:type="dxa" w:w="2160"/>
          </w:tcPr>
          <w:p>
            <w:r>
              <w:t>Information Technology / Security Officer</w:t>
            </w:r>
          </w:p>
        </w:tc>
        <w:tc>
          <w:tcPr>
            <w:tcW w:type="dxa" w:w="2160"/>
          </w:tcPr>
          <w:p>
            <w:r>
              <w:t>Device management report, remote access report</w:t>
            </w:r>
          </w:p>
        </w:tc>
      </w:tr>
      <w:tr>
        <w:tc>
          <w:tcPr>
            <w:tcW w:type="dxa" w:w="2160"/>
          </w:tcPr>
          <w:p>
            <w:r>
              <w:t>Review of workstation-related incidents</w:t>
            </w:r>
          </w:p>
        </w:tc>
        <w:tc>
          <w:tcPr>
            <w:tcW w:type="dxa" w:w="2160"/>
          </w:tcPr>
          <w:p>
            <w:r>
              <w:t>Ongoing, with periodic trend review</w:t>
            </w:r>
          </w:p>
        </w:tc>
        <w:tc>
          <w:tcPr>
            <w:tcW w:type="dxa" w:w="2160"/>
          </w:tcPr>
          <w:p>
            <w:r>
              <w:t>Security Officer / Privacy Officer</w:t>
            </w:r>
          </w:p>
        </w:tc>
        <w:tc>
          <w:tcPr>
            <w:tcW w:type="dxa" w:w="2160"/>
          </w:tcPr>
          <w:p>
            <w:r>
              <w:t>Incident records, corrective action plans</w:t>
            </w:r>
          </w:p>
        </w:tc>
      </w:tr>
      <w:tr>
        <w:tc>
          <w:tcPr>
            <w:tcW w:type="dxa" w:w="2160"/>
          </w:tcPr>
          <w:p>
            <w:r>
              <w:t>Workforce training completion review</w:t>
            </w:r>
          </w:p>
        </w:tc>
        <w:tc>
          <w:tcPr>
            <w:tcW w:type="dxa" w:w="2160"/>
          </w:tcPr>
          <w:p>
            <w:r>
              <w:t>At least annually</w:t>
            </w:r>
          </w:p>
        </w:tc>
        <w:tc>
          <w:tcPr>
            <w:tcW w:type="dxa" w:w="2160"/>
          </w:tcPr>
          <w:p>
            <w:r>
              <w:t>Compliance / Human Resources</w:t>
            </w:r>
          </w:p>
        </w:tc>
        <w:tc>
          <w:tcPr>
            <w:tcW w:type="dxa" w:w="2160"/>
          </w:tcPr>
          <w:p>
            <w:r>
              <w:t>Training completion report</w:t>
            </w:r>
          </w:p>
        </w:tc>
      </w:tr>
    </w:tbl>
    <w:p>
      <w:r>
        <w:t>Noncompliance may result in corrective action, up to and including suspension of access, disciplinary action, contract remedies, termination of employment or engagement, and legal action where appropriate.</w:t>
      </w:r>
    </w:p>
    <w:p>
      <w:r>
        <w:t>Enforcement shall be based on the nature, severity, intent, recurrence, and impact of the violation. Examples of violations include, but are not limited to:</w:t>
      </w:r>
    </w:p>
    <w:p>
      <w:pPr>
        <w:pStyle w:val="ListBullet"/>
      </w:pPr>
      <w:r>
        <w:t>Leaving an active workstation session unattended.</w:t>
      </w:r>
    </w:p>
    <w:p>
      <w:pPr>
        <w:pStyle w:val="ListBullet"/>
      </w:pPr>
      <w:r>
        <w:t>Sharing credentials or allowing another person to use an authenticated session.</w:t>
      </w:r>
    </w:p>
    <w:p>
      <w:pPr>
        <w:pStyle w:val="ListBullet"/>
      </w:pPr>
      <w:r>
        <w:t>Viewing protected health information without a job-related need.</w:t>
      </w:r>
    </w:p>
    <w:p>
      <w:pPr>
        <w:pStyle w:val="ListBullet"/>
      </w:pPr>
      <w:r>
        <w:t>Positioning a workstation so protected health information is visible to unauthorized individuals.</w:t>
      </w:r>
    </w:p>
    <w:p>
      <w:pPr>
        <w:pStyle w:val="ListBullet"/>
      </w:pPr>
      <w:r>
        <w:t>Removing a workstation from an approved location without authorization.</w:t>
      </w:r>
    </w:p>
    <w:p>
      <w:pPr>
        <w:pStyle w:val="ListBullet"/>
      </w:pPr>
      <w:r>
        <w:t>Disabling endpoint protection, encryption, logging, or security settings.</w:t>
      </w:r>
    </w:p>
    <w:p>
      <w:pPr>
        <w:pStyle w:val="ListBullet"/>
      </w:pPr>
      <w:r>
        <w:t>Storing protected health information in unapproved locations.</w:t>
      </w:r>
    </w:p>
    <w:p>
      <w:pPr>
        <w:pStyle w:val="ListBullet"/>
      </w:pPr>
      <w:r>
        <w:t>Using an unauthorized device to access electronic protected health information.</w:t>
      </w:r>
    </w:p>
    <w:p>
      <w:pPr>
        <w:pStyle w:val="ListBullet"/>
      </w:pPr>
      <w:r>
        <w:t>Failing to report a lost, stolen, compromised, or tampered workstation.</w:t>
      </w:r>
    </w:p>
    <w:p>
      <w:pPr>
        <w:pStyle w:val="ListBullet"/>
      </w:pPr>
      <w:r>
        <w:t>Installing unauthorized software or connecting unauthorized peripherals.</w:t>
      </w:r>
    </w:p>
    <w:p>
      <w:pPr>
        <w:pStyle w:val="ListBullet"/>
      </w:pPr>
      <w:r>
        <w:t>Failing to secure a workstation used for remote work.</w:t>
      </w:r>
    </w:p>
    <w:p>
      <w:r>
        <w:t>Confirmed or suspected breaches involving protected health information shall be handled through the organization’s incident response and breach assessment processes.</w:t>
      </w:r>
    </w:p>
    <w:p>
      <w:pPr>
        <w:pStyle w:val="Heading2"/>
      </w:pPr>
      <w:r>
        <w:t>Exceptions</w:t>
      </w:r>
    </w:p>
    <w:p>
      <w:r>
        <w:t>Exceptions to this policy shall be limited, documented, risk-assessed, time-bound, and approved before implementation unless emergency circumstances require immediate action to protect patient safety or critical operations.</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information of the person requesting the exception</w:t>
            </w:r>
          </w:p>
        </w:tc>
      </w:tr>
      <w:tr>
        <w:tc>
          <w:tcPr>
            <w:tcW w:type="dxa" w:w="4320"/>
          </w:tcPr>
          <w:p>
            <w:r>
              <w:t>Workstation or Location</w:t>
            </w:r>
          </w:p>
        </w:tc>
        <w:tc>
          <w:tcPr>
            <w:tcW w:type="dxa" w:w="4320"/>
          </w:tcPr>
          <w:p>
            <w:r>
              <w:t>Asset identifier, location, department, or use case affected</w:t>
            </w:r>
          </w:p>
        </w:tc>
      </w:tr>
      <w:tr>
        <w:tc>
          <w:tcPr>
            <w:tcW w:type="dxa" w:w="4320"/>
          </w:tcPr>
          <w:p>
            <w:r>
              <w:t>Policy Requirement</w:t>
            </w:r>
          </w:p>
        </w:tc>
        <w:tc>
          <w:tcPr>
            <w:tcW w:type="dxa" w:w="4320"/>
          </w:tcPr>
          <w:p>
            <w:r>
              <w:t>Specific requirement that cannot be met</w:t>
            </w:r>
          </w:p>
        </w:tc>
      </w:tr>
      <w:tr>
        <w:tc>
          <w:tcPr>
            <w:tcW w:type="dxa" w:w="4320"/>
          </w:tcPr>
          <w:p>
            <w:r>
              <w:t>Business Justification</w:t>
            </w:r>
          </w:p>
        </w:tc>
        <w:tc>
          <w:tcPr>
            <w:tcW w:type="dxa" w:w="4320"/>
          </w:tcPr>
          <w:p>
            <w:r>
              <w:t>Reason the exception is necessary</w:t>
            </w:r>
          </w:p>
        </w:tc>
      </w:tr>
      <w:tr>
        <w:tc>
          <w:tcPr>
            <w:tcW w:type="dxa" w:w="4320"/>
          </w:tcPr>
          <w:p>
            <w:r>
              <w:t>Risk Description</w:t>
            </w:r>
          </w:p>
        </w:tc>
        <w:tc>
          <w:tcPr>
            <w:tcW w:type="dxa" w:w="4320"/>
          </w:tcPr>
          <w:p>
            <w:r>
              <w:t>Potential privacy, security, operational, and patient safety risks</w:t>
            </w:r>
          </w:p>
        </w:tc>
      </w:tr>
      <w:tr>
        <w:tc>
          <w:tcPr>
            <w:tcW w:type="dxa" w:w="4320"/>
          </w:tcPr>
          <w:p>
            <w:r>
              <w:t>Compensating Safeguards</w:t>
            </w:r>
          </w:p>
        </w:tc>
        <w:tc>
          <w:tcPr>
            <w:tcW w:type="dxa" w:w="4320"/>
          </w:tcPr>
          <w:p>
            <w:r>
              <w:t>Alternative controls to reduce risk</w:t>
            </w:r>
          </w:p>
        </w:tc>
      </w:tr>
      <w:tr>
        <w:tc>
          <w:tcPr>
            <w:tcW w:type="dxa" w:w="4320"/>
          </w:tcPr>
          <w:p>
            <w:r>
              <w:t>Requested Duration</w:t>
            </w:r>
          </w:p>
        </w:tc>
        <w:tc>
          <w:tcPr>
            <w:tcW w:type="dxa" w:w="4320"/>
          </w:tcPr>
          <w:p>
            <w:r>
              <w:t>Start date and end date of the exception</w:t>
            </w:r>
          </w:p>
        </w:tc>
      </w:tr>
      <w:tr>
        <w:tc>
          <w:tcPr>
            <w:tcW w:type="dxa" w:w="4320"/>
          </w:tcPr>
          <w:p>
            <w:r>
              <w:t>Approvals</w:t>
            </w:r>
          </w:p>
        </w:tc>
        <w:tc>
          <w:tcPr>
            <w:tcW w:type="dxa" w:w="4320"/>
          </w:tcPr>
          <w:p>
            <w:r>
              <w:t>Department leader, Security Officer, Privacy Officer, and other required approvers</w:t>
            </w:r>
          </w:p>
        </w:tc>
      </w:tr>
      <w:tr>
        <w:tc>
          <w:tcPr>
            <w:tcW w:type="dxa" w:w="4320"/>
          </w:tcPr>
          <w:p>
            <w:r>
              <w:t>Review Date</w:t>
            </w:r>
          </w:p>
        </w:tc>
        <w:tc>
          <w:tcPr>
            <w:tcW w:type="dxa" w:w="4320"/>
          </w:tcPr>
          <w:p>
            <w:r>
              <w:t>Date the exception will be reassessed</w:t>
            </w:r>
          </w:p>
        </w:tc>
      </w:tr>
      <w:tr>
        <w:tc>
          <w:tcPr>
            <w:tcW w:type="dxa" w:w="4320"/>
          </w:tcPr>
          <w:p>
            <w:r>
              <w:t>Remediation Plan</w:t>
            </w:r>
          </w:p>
        </w:tc>
        <w:tc>
          <w:tcPr>
            <w:tcW w:type="dxa" w:w="4320"/>
          </w:tcPr>
          <w:p>
            <w:r>
              <w:t>Steps and timeline to return to compliance</w:t>
            </w:r>
          </w:p>
        </w:tc>
      </w:tr>
    </w:tbl>
    <w:p>
      <w:r>
        <w:t>The Security Officer and Privacy Officer shall review exception requests involving electronic protected health information. Information Technology shall review exceptions involving workstation configuration, endpoint security, device management, or technical feasibility.</w:t>
      </w:r>
    </w:p>
    <w:p>
      <w:r>
        <w:t>Approved exceptions shall be recorded in an exception register and reviewed at defined intervals. Exceptions shall not be granted indefinitely unless formally approved by executive leadership and supported by documented risk acceptance.</w:t>
      </w:r>
    </w:p>
    <w:p>
      <w:r>
        <w:t>Emergency deviations from this policy shall be reported to the Security Officer and Privacy Officer as soon as practical and shall be reviewed after the event to determine whether continued exception approval, remediation, or corrective action is required.</w:t>
      </w:r>
    </w:p>
    <w:p>
      <w:pPr>
        <w:pStyle w:val="Heading2"/>
      </w:pPr>
      <w:r>
        <w:t>Review &amp; Maintenance</w:t>
      </w:r>
    </w:p>
    <w:p>
      <w:r>
        <w:t>This policy shall be reviewed at least annually and whenever significant changes occur that may affect workstation use or security, including:</w:t>
      </w:r>
    </w:p>
    <w:p>
      <w:pPr>
        <w:pStyle w:val="ListBullet"/>
      </w:pPr>
      <w:r>
        <w:t>Changes to clinical workflows or workstation locations.</w:t>
      </w:r>
    </w:p>
    <w:p>
      <w:pPr>
        <w:pStyle w:val="ListBullet"/>
      </w:pPr>
      <w:r>
        <w:t>Deployment of new workstation types, mobile carts, kiosks, or remote work technologies.</w:t>
      </w:r>
    </w:p>
    <w:p>
      <w:pPr>
        <w:pStyle w:val="ListBullet"/>
      </w:pPr>
      <w:r>
        <w:t>Changes to electronic health record, billing, scheduling, or administrative systems.</w:t>
      </w:r>
    </w:p>
    <w:p>
      <w:pPr>
        <w:pStyle w:val="ListBullet"/>
      </w:pPr>
      <w:r>
        <w:t>Significant privacy or security incidents involving workstations.</w:t>
      </w:r>
    </w:p>
    <w:p>
      <w:pPr>
        <w:pStyle w:val="ListBullet"/>
      </w:pPr>
      <w:r>
        <w:t>Audit findings or risk assessment results.</w:t>
      </w:r>
    </w:p>
    <w:p>
      <w:pPr>
        <w:pStyle w:val="ListBullet"/>
      </w:pPr>
      <w:r>
        <w:t>Facility renovations, relocations, or changes to public-facing areas.</w:t>
      </w:r>
    </w:p>
    <w:p>
      <w:pPr>
        <w:pStyle w:val="ListBullet"/>
      </w:pPr>
      <w:r>
        <w:t>Changes in legal, regulatory, contractual, or organizational requirements.</w:t>
      </w:r>
    </w:p>
    <w:p>
      <w:pPr>
        <w:pStyle w:val="ListBullet"/>
      </w:pPr>
      <w:r>
        <w:t>Introduction of new device management, endpoint security, or access control technologies.</w:t>
      </w:r>
    </w:p>
    <w:p>
      <w:r>
        <w:t>The Security Officer is responsible for coordinating review and maintenance of this policy in consultation with the Privacy Officer, Information Technology, Facilities, Compliance, and department leadership.</w:t>
      </w:r>
    </w:p>
    <w:p>
      <w:r>
        <w:t>Updates shall be documented through version control and communicated to affected workforce members. Material changes shall be supported by updated training, procedures, standards, or technical configurations where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