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 of the Organisation Document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[DOC-ISMS-04-001]</w:t>
            </w:r>
          </w:p>
        </w:tc>
        <w:tc>
          <w:tcPr>
            <w:tcW w:type="dxa" w:w="1234"/>
          </w:tcPr>
          <w:p>
            <w:r>
              <w:t>1.0</w:t>
            </w:r>
          </w:p>
        </w:tc>
        <w:tc>
          <w:tcPr>
            <w:tcW w:type="dxa" w:w="1234"/>
          </w:tcPr>
          <w:p>
            <w:r>
              <w:t>ISMS Manager</w:t>
            </w:r>
          </w:p>
        </w:tc>
        <w:tc>
          <w:tcPr>
            <w:tcW w:type="dxa" w:w="1234"/>
          </w:tcPr>
          <w:p>
            <w:r>
              <w:t>[YYYY-MM-DD]</w:t>
            </w:r>
          </w:p>
        </w:tc>
        <w:tc>
          <w:tcPr>
            <w:tcW w:type="dxa" w:w="1234"/>
          </w:tcPr>
          <w:p>
            <w:r>
              <w:t>ISO/IEC 27001:2022</w:t>
            </w:r>
          </w:p>
        </w:tc>
        <w:tc>
          <w:tcPr>
            <w:tcW w:type="dxa" w:w="1234"/>
          </w:tcPr>
          <w:p>
            <w:r>
              <w:t>— Understanding the Organisation and Its Context</w:t>
            </w:r>
          </w:p>
        </w:tc>
        <w:tc>
          <w:tcPr>
            <w:tcW w:type="dxa" w:w="1234"/>
          </w:tcPr>
          <w:p>
            <w:r>
              <w:t>Internal</w:t>
            </w:r>
          </w:p>
        </w:tc>
      </w:tr>
    </w:tbl>
    <w:p>
      <w:pPr>
        <w:pStyle w:val="Heading2"/>
      </w:pPr>
      <w:r>
        <w:t>Purpose</w:t>
      </w:r>
    </w:p>
    <w:p>
      <w:r>
        <w:t>This Policy establishes the mandatory requirements for determining, documenting, monitoring, and reviewing the internal and external issues that are relevant to the organisation’s purpose and that affect its ability to achieve the intended outcomes of the Information Security Management System (ISMS).</w:t>
      </w:r>
    </w:p>
    <w:p>
      <w:r>
        <w:t>This Policy supports conformity with ISO/IEC 27001:2022 by ensuring that the organisation maintains a current and evidence-based understanding of its organisational context, including business, operational, legal, regulatory, technological, threat, cultural, economic, and environmental factors that may influence information security objectives, risks, controls, and ISMS effectiveness.</w:t>
      </w:r>
    </w:p>
    <w:p>
      <w:r>
        <w:t>The intended outcomes of the ISMS include, at minimum:</w:t>
      </w:r>
    </w:p>
    <w:p>
      <w:pPr>
        <w:pStyle w:val="ListBullet"/>
      </w:pPr>
      <w:r>
        <w:t>Preservation of the confidentiality, integrity, and availability of information.</w:t>
      </w:r>
    </w:p>
    <w:p>
      <w:pPr>
        <w:pStyle w:val="ListBullet"/>
      </w:pPr>
      <w:r>
        <w:t>Management of information security risks to an acceptable level.</w:t>
      </w:r>
    </w:p>
    <w:p>
      <w:pPr>
        <w:pStyle w:val="ListBullet"/>
      </w:pPr>
      <w:r>
        <w:t>Fulfilment of applicable legal, regulatory, contractual, and business obligations.</w:t>
      </w:r>
    </w:p>
    <w:p>
      <w:pPr>
        <w:pStyle w:val="ListBullet"/>
      </w:pPr>
      <w:r>
        <w:t>Continual improvement of the ISMS.</w:t>
      </w:r>
    </w:p>
    <w:p>
      <w:pPr>
        <w:pStyle w:val="ListBullet"/>
      </w:pPr>
      <w:r>
        <w:t>Alignment of information security activities with organisational strategy and stakeholder expectations.</w:t>
      </w:r>
    </w:p>
    <w:p>
      <w:pPr>
        <w:pStyle w:val="Heading2"/>
      </w:pPr>
      <w:r>
        <w:t>Scope</w:t>
      </w:r>
    </w:p>
    <w:p>
      <w:r>
        <w:t>This Policy applies to all organisational units, functions, processes, locations, technologies, information assets, personnel, and third-party relationships that are within or may affect the defined scope of the ISMS.</w:t>
      </w:r>
    </w:p>
    <w:p>
      <w:r>
        <w:t>This Policy applies to the identification and consideration of internal and external issues that may affect:</w:t>
      </w:r>
    </w:p>
    <w:p>
      <w:pPr>
        <w:pStyle w:val="ListBullet"/>
      </w:pPr>
      <w:r>
        <w:t>ISMS scope, boundaries, applicability, and exclusions.</w:t>
      </w:r>
    </w:p>
    <w:p>
      <w:pPr>
        <w:pStyle w:val="ListBullet"/>
      </w:pPr>
      <w:r>
        <w:t>Information security objectives and planning.</w:t>
      </w:r>
    </w:p>
    <w:p>
      <w:pPr>
        <w:pStyle w:val="ListBullet"/>
      </w:pPr>
      <w:r>
        <w:t>Risk assessment and risk treatment activities.</w:t>
      </w:r>
    </w:p>
    <w:p>
      <w:pPr>
        <w:pStyle w:val="ListBullet"/>
      </w:pPr>
      <w:r>
        <w:t>Selection, implementation, and effectiveness of information security controls.</w:t>
      </w:r>
    </w:p>
    <w:p>
      <w:pPr>
        <w:pStyle w:val="ListBullet"/>
      </w:pPr>
      <w:r>
        <w:t>Legal, statutory, regulatory, contractual, and sector-specific obligations.</w:t>
      </w:r>
    </w:p>
    <w:p>
      <w:pPr>
        <w:pStyle w:val="ListBullet"/>
      </w:pPr>
      <w:r>
        <w:t>Interested party needs and expectations.</w:t>
      </w:r>
    </w:p>
    <w:p>
      <w:pPr>
        <w:pStyle w:val="ListBullet"/>
      </w:pPr>
      <w:r>
        <w:t>Governance, resourcing, roles, responsibilities, and accountability for information security.</w:t>
      </w:r>
    </w:p>
    <w:p>
      <w:pPr>
        <w:pStyle w:val="ListBullet"/>
      </w:pPr>
      <w:r>
        <w:t>Business strategy, operating model, products, services, and delivery channels.</w:t>
      </w:r>
    </w:p>
    <w:p>
      <w:pPr>
        <w:pStyle w:val="ListBullet"/>
      </w:pPr>
      <w:r>
        <w:t>Technology architecture, cloud services, outsourcing, and supply chain dependencies.</w:t>
      </w:r>
    </w:p>
    <w:p>
      <w:pPr>
        <w:pStyle w:val="ListBullet"/>
      </w:pPr>
      <w:r>
        <w:t>Threat landscape, vulnerabilities, incidents, and emerging security risks.</w:t>
      </w:r>
    </w:p>
    <w:p>
      <w:pPr>
        <w:pStyle w:val="ListBullet"/>
      </w:pPr>
      <w:r>
        <w:t>Organisational change, mergers, acquisitions, restructuring, and new markets.</w:t>
      </w:r>
    </w:p>
    <w:p>
      <w:pPr>
        <w:pStyle w:val="ListBullet"/>
      </w:pPr>
      <w:r>
        <w:t>Environmental, social, political, economic, and geopolitical factors relevant to information security.</w:t>
      </w:r>
    </w:p>
    <w:p>
      <w:r>
        <w:t>This Policy shall be applied in conjunction with related ISMS governance documents, including but not limited to:</w:t>
      </w:r>
    </w:p>
    <w:p>
      <w:pPr>
        <w:pStyle w:val="ListBullet"/>
      </w:pPr>
      <w:r>
        <w:t>ISMS Scope Statement.</w:t>
      </w:r>
    </w:p>
    <w:p>
      <w:pPr>
        <w:pStyle w:val="ListBullet"/>
      </w:pPr>
      <w:r>
        <w:t>Information Security Policy.</w:t>
      </w:r>
    </w:p>
    <w:p>
      <w:pPr>
        <w:pStyle w:val="ListBullet"/>
      </w:pPr>
      <w:r>
        <w:t>Risk Assessment and Risk Treatment Methodology.</w:t>
      </w:r>
    </w:p>
    <w:p>
      <w:pPr>
        <w:pStyle w:val="ListBullet"/>
      </w:pPr>
      <w:r>
        <w:t>Statement of Applicability.</w:t>
      </w:r>
    </w:p>
    <w:p>
      <w:pPr>
        <w:pStyle w:val="ListBullet"/>
      </w:pPr>
      <w:r>
        <w:t>Legal, Regulatory, and Contractual Requirements Register.</w:t>
      </w:r>
    </w:p>
    <w:p>
      <w:pPr>
        <w:pStyle w:val="ListBullet"/>
      </w:pPr>
      <w:r>
        <w:t>Interested Parties Register.</w:t>
      </w:r>
    </w:p>
    <w:p>
      <w:pPr>
        <w:pStyle w:val="ListBullet"/>
      </w:pPr>
      <w:r>
        <w:t>Information Security Objectives.</w:t>
      </w:r>
    </w:p>
    <w:p>
      <w:pPr>
        <w:pStyle w:val="ListBullet"/>
      </w:pPr>
      <w:r>
        <w:t>Management Review Procedure.</w:t>
      </w:r>
    </w:p>
    <w:p>
      <w:pPr>
        <w:pStyle w:val="ListBullet"/>
      </w:pPr>
      <w:r>
        <w:t>Internal Audit Programme.</w:t>
      </w:r>
    </w:p>
    <w:p>
      <w:pPr>
        <w:pStyle w:val="ListBullet"/>
      </w:pPr>
      <w:r>
        <w:t>Change Management Policy.</w:t>
      </w:r>
    </w:p>
    <w:p>
      <w:pPr>
        <w:pStyle w:val="Heading2"/>
      </w:pPr>
      <w:r>
        <w:t>Policy Statements</w:t>
      </w:r>
    </w:p>
    <w:p>
      <w:pPr>
        <w:pStyle w:val="ListBullet"/>
      </w:pPr>
      <w:r>
        <w:t>The organisation shall determine the external and internal issues that are relevant to its purpose and that affect its ability to achieve the intended outcomes of the ISMS.</w:t>
      </w:r>
    </w:p>
    <w:p>
      <w:pPr>
        <w:pStyle w:val="ListBullet"/>
      </w:pPr>
      <w:r>
        <w:t>The organisation shall maintain a documented Context of the Organisation Register or equivalent documented information that records relevant internal and external issues affecting the ISMS.</w:t>
      </w:r>
    </w:p>
    <w:p>
      <w:pPr>
        <w:pStyle w:val="ListBullet"/>
      </w:pPr>
      <w:r>
        <w:t>The context determination shall be aligned to the defined ISMS scope and shall consider the organisation’s business objectives, operating environment, information assets, processes, services, technologies, and dependencies.</w:t>
      </w:r>
    </w:p>
    <w:p>
      <w:pPr>
        <w:pStyle w:val="ListBullet"/>
      </w:pPr>
      <w:r>
        <w:t>The organisation shall identify and document external issues relevant to the ISMS, including, as applicable:</w:t>
      </w:r>
    </w:p>
    <w:p>
      <w:pPr>
        <w:pStyle w:val="ListBullet"/>
      </w:pPr>
      <w:r>
        <w:t>Legal, statutory, regulatory, and contractual obligations.</w:t>
      </w:r>
    </w:p>
    <w:p>
      <w:pPr>
        <w:pStyle w:val="ListBullet"/>
      </w:pPr>
      <w:r>
        <w:t>Industry, sector, market, and customer requirements.</w:t>
      </w:r>
    </w:p>
    <w:p>
      <w:pPr>
        <w:pStyle w:val="ListBullet"/>
      </w:pPr>
      <w:r>
        <w:t>Cyber threat landscape and emerging attack techniques.</w:t>
      </w:r>
    </w:p>
    <w:p>
      <w:pPr>
        <w:pStyle w:val="ListBullet"/>
      </w:pPr>
      <w:r>
        <w:t>Technology trends, cloud adoption, artificial intelligence, automation, and digital transformation.</w:t>
      </w:r>
    </w:p>
    <w:p>
      <w:pPr>
        <w:pStyle w:val="ListBullet"/>
      </w:pPr>
      <w:r>
        <w:t>Supplier, outsourced service provider, and third-party dependency risks.</w:t>
      </w:r>
    </w:p>
    <w:p>
      <w:pPr>
        <w:pStyle w:val="ListBullet"/>
      </w:pPr>
      <w:r>
        <w:t>Economic, political, geopolitical, and social factors.</w:t>
      </w:r>
    </w:p>
    <w:p>
      <w:pPr>
        <w:pStyle w:val="ListBullet"/>
      </w:pPr>
      <w:r>
        <w:t>Environmental conditions, natural disasters, and physical security considerations.</w:t>
      </w:r>
    </w:p>
    <w:p>
      <w:pPr>
        <w:pStyle w:val="ListBullet"/>
      </w:pPr>
      <w:r>
        <w:t>Competitor activity and industry benchmarking relevant to information security.</w:t>
      </w:r>
    </w:p>
    <w:p>
      <w:pPr>
        <w:pStyle w:val="ListBullet"/>
      </w:pPr>
      <w:r>
        <w:t>External audit, certification, insurer, and regulator expectations.</w:t>
      </w:r>
    </w:p>
    <w:p>
      <w:pPr>
        <w:pStyle w:val="ListBullet"/>
      </w:pPr>
      <w:r>
        <w:t>The organisation shall identify and document internal issues relevant to the ISMS, including, as applicable:</w:t>
      </w:r>
    </w:p>
    <w:p>
      <w:pPr>
        <w:pStyle w:val="ListBullet"/>
      </w:pPr>
      <w:r>
        <w:t>Governance structure, leadership priorities, and decision-making arrangements.</w:t>
      </w:r>
    </w:p>
    <w:p>
      <w:pPr>
        <w:pStyle w:val="ListBullet"/>
      </w:pPr>
      <w:r>
        <w:t>Organisational strategy, objectives, culture, and risk appetite.</w:t>
      </w:r>
    </w:p>
    <w:p>
      <w:pPr>
        <w:pStyle w:val="ListBullet"/>
      </w:pPr>
      <w:r>
        <w:t>Business processes, products, services, and operational dependencies.</w:t>
      </w:r>
    </w:p>
    <w:p>
      <w:pPr>
        <w:pStyle w:val="ListBullet"/>
      </w:pPr>
      <w:r>
        <w:t>Information assets, systems, networks, applications, and data flows.</w:t>
      </w:r>
    </w:p>
    <w:p>
      <w:pPr>
        <w:pStyle w:val="ListBullet"/>
      </w:pPr>
      <w:r>
        <w:t>Workforce capability, awareness, competence, and resource constraints.</w:t>
      </w:r>
    </w:p>
    <w:p>
      <w:pPr>
        <w:pStyle w:val="ListBullet"/>
      </w:pPr>
      <w:r>
        <w:t>Internal policies, standards, procedures, and control maturity.</w:t>
      </w:r>
    </w:p>
    <w:p>
      <w:pPr>
        <w:pStyle w:val="ListBullet"/>
      </w:pPr>
      <w:r>
        <w:t>Previous incidents, audit findings, nonconformities, corrective actions, and lessons learned.</w:t>
      </w:r>
    </w:p>
    <w:p>
      <w:pPr>
        <w:pStyle w:val="ListBullet"/>
      </w:pPr>
      <w:r>
        <w:t>Organisational change, restructuring, mergers, acquisitions, or divestments.</w:t>
      </w:r>
    </w:p>
    <w:p>
      <w:pPr>
        <w:pStyle w:val="ListBullet"/>
      </w:pPr>
      <w:r>
        <w:t>Physical locations, remote working arrangements, and hybrid working practices.</w:t>
      </w:r>
    </w:p>
    <w:p>
      <w:pPr>
        <w:pStyle w:val="ListBullet"/>
      </w:pPr>
      <w:r>
        <w:t>Technology lifecycle, legacy systems, technical debt, and architecture constraints.</w:t>
      </w:r>
    </w:p>
    <w:p>
      <w:pPr>
        <w:pStyle w:val="ListBullet"/>
      </w:pPr>
      <w:r>
        <w:t>The organisation shall ensure that the context analysis provides sufficient input to the establishment, implementation, maintenance, and continual improvement of the ISMS.</w:t>
      </w:r>
    </w:p>
    <w:p>
      <w:pPr>
        <w:pStyle w:val="ListBullet"/>
      </w:pPr>
      <w:r>
        <w:t>The organisation shall ensure that identified internal and external issues are considered when defining or revising the ISMS scope.</w:t>
      </w:r>
    </w:p>
    <w:p>
      <w:pPr>
        <w:pStyle w:val="ListBullet"/>
      </w:pPr>
      <w:r>
        <w:t>The organisation shall ensure that identified internal and external issues are considered during information security risk assessment and risk treatment activities.</w:t>
      </w:r>
    </w:p>
    <w:p>
      <w:pPr>
        <w:pStyle w:val="ListBullet"/>
      </w:pPr>
      <w:r>
        <w:t>The organisation shall ensure that identified internal and external issues are considered when establishing and reviewing information security objectives.</w:t>
      </w:r>
    </w:p>
    <w:p>
      <w:pPr>
        <w:pStyle w:val="ListBullet"/>
      </w:pPr>
      <w:r>
        <w:t>The organisation shall ensure that identified internal and external issues are considered when determining applicable legal, regulatory, contractual, and stakeholder requirements.</w:t>
      </w:r>
    </w:p>
    <w:p>
      <w:pPr>
        <w:pStyle w:val="ListBullet"/>
      </w:pPr>
      <w:r>
        <w:t>The organisation shall ensure that identified internal and external issues are considered when selecting and reviewing controls in the Statement of Applicability.</w:t>
      </w:r>
    </w:p>
    <w:p>
      <w:pPr>
        <w:pStyle w:val="ListBullet"/>
      </w:pPr>
      <w:r>
        <w:t>The organisation shall use a structured and repeatable method for identifying internal and external issues. This method may include, where appropriate:</w:t>
      </w:r>
    </w:p>
    <w:p>
      <w:pPr>
        <w:pStyle w:val="ListBullet"/>
      </w:pPr>
      <w:r>
        <w:t>PESTLE analysis.</w:t>
      </w:r>
    </w:p>
    <w:p>
      <w:pPr>
        <w:pStyle w:val="ListBullet"/>
      </w:pPr>
      <w:r>
        <w:t>SWOT analysis.</w:t>
      </w:r>
    </w:p>
    <w:p>
      <w:pPr>
        <w:pStyle w:val="ListBullet"/>
      </w:pPr>
      <w:r>
        <w:t>Threat intelligence review.</w:t>
      </w:r>
    </w:p>
    <w:p>
      <w:pPr>
        <w:pStyle w:val="ListBullet"/>
      </w:pPr>
      <w:r>
        <w:t>Business impact analysis inputs.</w:t>
      </w:r>
    </w:p>
    <w:p>
      <w:pPr>
        <w:pStyle w:val="ListBullet"/>
      </w:pPr>
      <w:r>
        <w:t>Risk workshops.</w:t>
      </w:r>
    </w:p>
    <w:p>
      <w:pPr>
        <w:pStyle w:val="ListBullet"/>
      </w:pPr>
      <w:r>
        <w:t>Compliance obligation review.</w:t>
      </w:r>
    </w:p>
    <w:p>
      <w:pPr>
        <w:pStyle w:val="ListBullet"/>
      </w:pPr>
      <w:r>
        <w:t>Supplier and third-party dependency analysis.</w:t>
      </w:r>
    </w:p>
    <w:p>
      <w:pPr>
        <w:pStyle w:val="ListBullet"/>
      </w:pPr>
      <w:r>
        <w:t>Incident trend analysis.</w:t>
      </w:r>
    </w:p>
    <w:p>
      <w:pPr>
        <w:pStyle w:val="ListBullet"/>
      </w:pPr>
      <w:r>
        <w:t>Internal audit and external audit results.</w:t>
      </w:r>
    </w:p>
    <w:p>
      <w:pPr>
        <w:pStyle w:val="ListBullet"/>
      </w:pPr>
      <w:r>
        <w:t>Management review inputs.</w:t>
      </w:r>
    </w:p>
    <w:p>
      <w:pPr>
        <w:pStyle w:val="ListBullet"/>
      </w:pPr>
      <w:r>
        <w:t>Strategic planning outputs.</w:t>
      </w:r>
    </w:p>
    <w:p>
      <w:pPr>
        <w:pStyle w:val="ListBullet"/>
      </w:pPr>
      <w:r>
        <w:t>The organisation shall assess each identified issue for relevance to the ISMS and its potential impact on the achievement of ISMS intended outcomes.</w:t>
      </w:r>
    </w:p>
    <w:p>
      <w:pPr>
        <w:pStyle w:val="ListBullet"/>
      </w:pPr>
      <w:r>
        <w:t>The organisation shall assign an owner for each material internal or external issue that requires monitoring, action, escalation, or integration into ISMS processes.</w:t>
      </w:r>
    </w:p>
    <w:p>
      <w:pPr>
        <w:pStyle w:val="ListBullet"/>
      </w:pPr>
      <w:r>
        <w:t>The organisation shall classify each identified issue using defined categories to support consistent analysis, reporting, and review.</w:t>
      </w:r>
    </w:p>
    <w:p>
      <w:pPr>
        <w:pStyle w:val="ListBullet"/>
      </w:pPr>
      <w:r>
        <w:t>The organisation shall maintain sufficient documented information to demonstrate that context determination has been performed and that relevant issues have been considered in ISMS planning and operation.</w:t>
      </w:r>
    </w:p>
    <w:p>
      <w:pPr>
        <w:pStyle w:val="ListBullet"/>
      </w:pPr>
      <w:r>
        <w:t>The Context of the Organisation Register shall include, at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Mandatory Requirement</w:t>
            </w:r>
          </w:p>
        </w:tc>
      </w:tr>
      <w:tr>
        <w:tc>
          <w:tcPr>
            <w:tcW w:type="dxa" w:w="4320"/>
          </w:tcPr>
          <w:p>
            <w:r>
              <w:t>Issue ID</w:t>
            </w:r>
          </w:p>
        </w:tc>
        <w:tc>
          <w:tcPr>
            <w:tcW w:type="dxa" w:w="4320"/>
          </w:tcPr>
          <w:p>
            <w:r>
              <w:t>A unique identifier shall be assigned to each issue.</w:t>
            </w:r>
          </w:p>
        </w:tc>
      </w:tr>
      <w:tr>
        <w:tc>
          <w:tcPr>
            <w:tcW w:type="dxa" w:w="4320"/>
          </w:tcPr>
          <w:p>
            <w:r>
              <w:t>Issue Type</w:t>
            </w:r>
          </w:p>
        </w:tc>
        <w:tc>
          <w:tcPr>
            <w:tcW w:type="dxa" w:w="4320"/>
          </w:tcPr>
          <w:p>
            <w:r>
              <w:t>The issue shall be classified as internal or external.</w:t>
            </w:r>
          </w:p>
        </w:tc>
      </w:tr>
      <w:tr>
        <w:tc>
          <w:tcPr>
            <w:tcW w:type="dxa" w:w="4320"/>
          </w:tcPr>
          <w:p>
            <w:r>
              <w:t>Category</w:t>
            </w:r>
          </w:p>
        </w:tc>
        <w:tc>
          <w:tcPr>
            <w:tcW w:type="dxa" w:w="4320"/>
          </w:tcPr>
          <w:p>
            <w:r>
              <w:t>The issue shall be categorised, such as legal, regulatory, technological, operational, threat, organisational, economic, environmental, or supplier-related.</w:t>
            </w:r>
          </w:p>
        </w:tc>
      </w:tr>
      <w:tr>
        <w:tc>
          <w:tcPr>
            <w:tcW w:type="dxa" w:w="4320"/>
          </w:tcPr>
          <w:p>
            <w:r>
              <w:t>Description</w:t>
            </w:r>
          </w:p>
        </w:tc>
        <w:tc>
          <w:tcPr>
            <w:tcW w:type="dxa" w:w="4320"/>
          </w:tcPr>
          <w:p>
            <w:r>
              <w:t>The issue shall be described clearly and specifically.</w:t>
            </w:r>
          </w:p>
        </w:tc>
      </w:tr>
      <w:tr>
        <w:tc>
          <w:tcPr>
            <w:tcW w:type="dxa" w:w="4320"/>
          </w:tcPr>
          <w:p>
            <w:r>
              <w:t>Source</w:t>
            </w:r>
          </w:p>
        </w:tc>
        <w:tc>
          <w:tcPr>
            <w:tcW w:type="dxa" w:w="4320"/>
          </w:tcPr>
          <w:p>
            <w:r>
              <w:t>The source of the issue shall be recorded, such as audit, risk assessment, management review, regulatory update, incident, or business strategy review.</w:t>
            </w:r>
          </w:p>
        </w:tc>
      </w:tr>
      <w:tr>
        <w:tc>
          <w:tcPr>
            <w:tcW w:type="dxa" w:w="4320"/>
          </w:tcPr>
          <w:p>
            <w:r>
              <w:t>ISMS Relevance</w:t>
            </w:r>
          </w:p>
        </w:tc>
        <w:tc>
          <w:tcPr>
            <w:tcW w:type="dxa" w:w="4320"/>
          </w:tcPr>
          <w:p>
            <w:r>
              <w:t>The relevance of the issue to the ISMS shall be documented.</w:t>
            </w:r>
          </w:p>
        </w:tc>
      </w:tr>
      <w:tr>
        <w:tc>
          <w:tcPr>
            <w:tcW w:type="dxa" w:w="4320"/>
          </w:tcPr>
          <w:p>
            <w:r>
              <w:t>Potential ISMS Impact</w:t>
            </w:r>
          </w:p>
        </w:tc>
        <w:tc>
          <w:tcPr>
            <w:tcW w:type="dxa" w:w="4320"/>
          </w:tcPr>
          <w:p>
            <w:r>
              <w:t>The actual or potential effect on ISMS outcomes shall be recorded.</w:t>
            </w:r>
          </w:p>
        </w:tc>
      </w:tr>
      <w:tr>
        <w:tc>
          <w:tcPr>
            <w:tcW w:type="dxa" w:w="4320"/>
          </w:tcPr>
          <w:p>
            <w:r>
              <w:t>Related Risk or Opportunity</w:t>
            </w:r>
          </w:p>
        </w:tc>
        <w:tc>
          <w:tcPr>
            <w:tcW w:type="dxa" w:w="4320"/>
          </w:tcPr>
          <w:p>
            <w:r>
              <w:t>Related information security risks, opportunities, or improvement actions shall be referenced where applicable.</w:t>
            </w:r>
          </w:p>
        </w:tc>
      </w:tr>
      <w:tr>
        <w:tc>
          <w:tcPr>
            <w:tcW w:type="dxa" w:w="4320"/>
          </w:tcPr>
          <w:p>
            <w:r>
              <w:t>Owner</w:t>
            </w:r>
          </w:p>
        </w:tc>
        <w:tc>
          <w:tcPr>
            <w:tcW w:type="dxa" w:w="4320"/>
          </w:tcPr>
          <w:p>
            <w:r>
              <w:t>An accountable owner shall be assigned where monitoring or action is required.</w:t>
            </w:r>
          </w:p>
        </w:tc>
      </w:tr>
      <w:tr>
        <w:tc>
          <w:tcPr>
            <w:tcW w:type="dxa" w:w="4320"/>
          </w:tcPr>
          <w:p>
            <w:r>
              <w:t>Status</w:t>
            </w:r>
          </w:p>
        </w:tc>
        <w:tc>
          <w:tcPr>
            <w:tcW w:type="dxa" w:w="4320"/>
          </w:tcPr>
          <w:p>
            <w:r>
              <w:t>The issue shall be recorded as open, monitoring, action required, closed, or superseded.</w:t>
            </w:r>
          </w:p>
        </w:tc>
      </w:tr>
      <w:tr>
        <w:tc>
          <w:tcPr>
            <w:tcW w:type="dxa" w:w="4320"/>
          </w:tcPr>
          <w:p>
            <w:r>
              <w:t>Last Reviewed</w:t>
            </w:r>
          </w:p>
        </w:tc>
        <w:tc>
          <w:tcPr>
            <w:tcW w:type="dxa" w:w="4320"/>
          </w:tcPr>
          <w:p>
            <w:r>
              <w:t>The most recent review date shall be recorded.</w:t>
            </w:r>
          </w:p>
        </w:tc>
      </w:tr>
      <w:tr>
        <w:tc>
          <w:tcPr>
            <w:tcW w:type="dxa" w:w="4320"/>
          </w:tcPr>
          <w:p>
            <w:r>
              <w:t>Next Review</w:t>
            </w:r>
          </w:p>
        </w:tc>
        <w:tc>
          <w:tcPr>
            <w:tcW w:type="dxa" w:w="4320"/>
          </w:tcPr>
          <w:p>
            <w:r>
              <w:t>The next planned review date shall be recorded.</w:t>
            </w:r>
          </w:p>
        </w:tc>
      </w:tr>
    </w:tbl>
    <w:p>
      <w:pPr>
        <w:pStyle w:val="ListBullet"/>
      </w:pPr>
      <w:r>
        <w:t>The organisation shall ensure that context information is reviewed at planned intervals and when significant changes occur.</w:t>
      </w:r>
    </w:p>
    <w:p>
      <w:pPr>
        <w:pStyle w:val="ListBullet"/>
      </w:pPr>
      <w:r>
        <w:t>The organisation shall review context information at least annually as an input to ISMS management review.</w:t>
      </w:r>
    </w:p>
    <w:p>
      <w:pPr>
        <w:pStyle w:val="ListBullet"/>
      </w:pPr>
      <w:r>
        <w:t>The organisation shall perform an interim context review when any of the following trigger events occur:</w:t>
      </w:r>
    </w:p>
    <w:p>
      <w:pPr>
        <w:pStyle w:val="ListBullet"/>
      </w:pPr>
      <w:r>
        <w:t>Significant change to organisational strategy, products, services, or operating model.</w:t>
      </w:r>
    </w:p>
    <w:p>
      <w:pPr>
        <w:pStyle w:val="ListBullet"/>
      </w:pPr>
      <w:r>
        <w:t>Entry into or exit from a market, jurisdiction, or regulated activity.</w:t>
      </w:r>
    </w:p>
    <w:p>
      <w:pPr>
        <w:pStyle w:val="ListBullet"/>
      </w:pPr>
      <w:r>
        <w:t>Major technology change, cloud migration, outsourcing arrangement, or system implementation.</w:t>
      </w:r>
    </w:p>
    <w:p>
      <w:pPr>
        <w:pStyle w:val="ListBullet"/>
      </w:pPr>
      <w:r>
        <w:t>Material change in legal, statutory, regulatory, or contractual obligations.</w:t>
      </w:r>
    </w:p>
    <w:p>
      <w:pPr>
        <w:pStyle w:val="ListBullet"/>
      </w:pPr>
      <w:r>
        <w:t>Significant information security incident or near miss.</w:t>
      </w:r>
    </w:p>
    <w:p>
      <w:pPr>
        <w:pStyle w:val="ListBullet"/>
      </w:pPr>
      <w:r>
        <w:t>Material audit finding, certification issue, or regulatory concern.</w:t>
      </w:r>
    </w:p>
    <w:p>
      <w:pPr>
        <w:pStyle w:val="ListBullet"/>
      </w:pPr>
      <w:r>
        <w:t>Major supplier failure, third-party incident, or supply chain disruption.</w:t>
      </w:r>
    </w:p>
    <w:p>
      <w:pPr>
        <w:pStyle w:val="ListBullet"/>
      </w:pPr>
      <w:r>
        <w:t>Merger, acquisition, divestment, restructuring, or significant workforce change.</w:t>
      </w:r>
    </w:p>
    <w:p>
      <w:pPr>
        <w:pStyle w:val="ListBullet"/>
      </w:pPr>
      <w:r>
        <w:t>Significant change in threat intelligence or sector-specific cyber risk.</w:t>
      </w:r>
    </w:p>
    <w:p>
      <w:pPr>
        <w:pStyle w:val="ListBullet"/>
      </w:pPr>
      <w:r>
        <w:t>Major physical, environmental, geopolitical, or economic event affecting information security.</w:t>
      </w:r>
    </w:p>
    <w:p>
      <w:pPr>
        <w:pStyle w:val="ListBullet"/>
      </w:pPr>
      <w:r>
        <w:t>The organisation shall integrate context review outputs into relevant ISMS processes, including risk management, control selection, objective setting, resource planning, awareness, supplier management, business continuity, internal audit, and management review.</w:t>
      </w:r>
    </w:p>
    <w:p>
      <w:pPr>
        <w:pStyle w:val="ListBullet"/>
      </w:pPr>
      <w:r>
        <w:t>The organisation shall ensure that context determination is not treated as a one-time certification activity and shall maintain context information as a living component of the ISMS.</w:t>
      </w:r>
    </w:p>
    <w:p>
      <w:pPr>
        <w:pStyle w:val="ListBullet"/>
      </w:pPr>
      <w:r>
        <w:t>The organisation shall ensure that information used to determine organisational context is obtained from credible and appropriate sources, including internal business owners, compliance teams, technology teams, legal counsel, risk management, human resources, supplier managers, and external intelligence or advisory sources where relevant.</w:t>
      </w:r>
    </w:p>
    <w:p>
      <w:pPr>
        <w:pStyle w:val="ListBullet"/>
      </w:pPr>
      <w:r>
        <w:t>The organisation shall ensure that material context issues are communicated to relevant stakeholders with a need to know, including senior management, risk owners, control owners, process owners, and ISMS governance forums.</w:t>
      </w:r>
    </w:p>
    <w:p>
      <w:pPr>
        <w:pStyle w:val="ListBullet"/>
      </w:pPr>
      <w:r>
        <w:t>The organisation shall ensure that confidential, sensitive, or restricted context information, including threat intelligence, regulatory matters, incident details, and strategic plans, is protected in accordance with the organisation’s information classification and handling requirements.</w:t>
      </w:r>
    </w:p>
    <w:p>
      <w:pPr>
        <w:pStyle w:val="ListBullet"/>
      </w:pPr>
      <w:r>
        <w:t>The organisation shall retain evidence of context determination and review activities in accordance with the organisation’s documented information and record retention requirements.</w:t>
      </w:r>
    </w:p>
    <w:p>
      <w:pPr>
        <w:pStyle w:val="ListBullet"/>
      </w:pPr>
      <w:r>
        <w:t>The organisation shall ensure that any unresolved material issue that may affect the effectiveness of the ISMS is escalated to senior management or the appropriate governance body.</w:t>
      </w:r>
    </w:p>
    <w:p>
      <w:pPr>
        <w:pStyle w:val="ListBullet"/>
      </w:pPr>
      <w:r>
        <w:t>The organisation shall ensure that the context analysis remains consistent with related documented information, including the ISMS scope, interested parties register, risk register, Statement of Applicability, information security objectives, and management review records.</w:t>
      </w:r>
    </w:p>
    <w:p>
      <w:pPr>
        <w:pStyle w:val="ListBullet"/>
      </w:pPr>
      <w:r>
        <w:t>The organisation shall ensure that conflicting, outdated, or incomplete context information is corrected in a timely manner.</w:t>
      </w:r>
    </w:p>
    <w:p>
      <w:pPr>
        <w:pStyle w:val="ListBullet"/>
      </w:pPr>
      <w:r>
        <w:t>The organisation shall ensure that personnel involved in determining and reviewing organisational context have appropriate knowledge of the organisation, its information security obligations, its business environment, and the ISO/IEC 27001:2022 ISMS requirements.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Shall provide oversight of the ISMS and ensure that material internal and external issues affecting information security are considered in governance and strategic decision-making.</w:t>
            </w:r>
          </w:p>
        </w:tc>
      </w:tr>
      <w:tr>
        <w:tc>
          <w:tcPr>
            <w:tcW w:type="dxa" w:w="4320"/>
          </w:tcPr>
          <w:p>
            <w:r>
              <w:t>Executive Management</w:t>
            </w:r>
          </w:p>
        </w:tc>
        <w:tc>
          <w:tcPr>
            <w:tcW w:type="dxa" w:w="4320"/>
          </w:tcPr>
          <w:p>
            <w:r>
              <w:t>Shall ensure that the organisation’s strategic direction, risk appetite, resources, and business priorities are reflected in the context of the ISMS. Shall review and respond to escalated material context issues.</w:t>
            </w:r>
          </w:p>
        </w:tc>
      </w:tr>
      <w:tr>
        <w:tc>
          <w:tcPr>
            <w:tcW w:type="dxa" w:w="4320"/>
          </w:tcPr>
          <w:p>
            <w:r>
              <w:t>ISMS Manager</w:t>
            </w:r>
          </w:p>
        </w:tc>
        <w:tc>
          <w:tcPr>
            <w:tcW w:type="dxa" w:w="4320"/>
          </w:tcPr>
          <w:p>
            <w:r>
              <w:t>Shall own and maintain the Context of the Organisation Register. Shall coordinate context determination, review, documentation, and integration with ISMS processes. Shall ensure alignment with ISO/IEC 27001:2022.</w:t>
            </w:r>
          </w:p>
        </w:tc>
      </w:tr>
      <w:tr>
        <w:tc>
          <w:tcPr>
            <w:tcW w:type="dxa" w:w="4320"/>
          </w:tcPr>
          <w:p>
            <w:r>
              <w:t>Chief Information Security Officer / Information Security Lead</w:t>
            </w:r>
          </w:p>
        </w:tc>
        <w:tc>
          <w:tcPr>
            <w:tcW w:type="dxa" w:w="4320"/>
          </w:tcPr>
          <w:p>
            <w:r>
              <w:t>Shall provide input on cyber threats, vulnerabilities, incidents, control maturity, security architecture, and emerging information security issues.</w:t>
            </w:r>
          </w:p>
        </w:tc>
      </w:tr>
      <w:tr>
        <w:tc>
          <w:tcPr>
            <w:tcW w:type="dxa" w:w="4320"/>
          </w:tcPr>
          <w:p>
            <w:r>
              <w:t>Risk Management Function</w:t>
            </w:r>
          </w:p>
        </w:tc>
        <w:tc>
          <w:tcPr>
            <w:tcW w:type="dxa" w:w="4320"/>
          </w:tcPr>
          <w:p>
            <w:r>
              <w:t>Shall ensure that relevant context issues are considered in the information security risk assessment and treatment process. Shall support evaluation of risk implications arising from internal and external issues.</w:t>
            </w:r>
          </w:p>
        </w:tc>
      </w:tr>
      <w:tr>
        <w:tc>
          <w:tcPr>
            <w:tcW w:type="dxa" w:w="4320"/>
          </w:tcPr>
          <w:p>
            <w:r>
              <w:t>Legal and Compliance Function</w:t>
            </w:r>
          </w:p>
        </w:tc>
        <w:tc>
          <w:tcPr>
            <w:tcW w:type="dxa" w:w="4320"/>
          </w:tcPr>
          <w:p>
            <w:r>
              <w:t>Shall identify and communicate legal, statutory, regulatory, contractual, and sector-specific issues relevant to the ISMS.</w:t>
            </w:r>
          </w:p>
        </w:tc>
      </w:tr>
      <w:tr>
        <w:tc>
          <w:tcPr>
            <w:tcW w:type="dxa" w:w="4320"/>
          </w:tcPr>
          <w:p>
            <w:r>
              <w:t>Data Protection / Privacy Officer</w:t>
            </w:r>
          </w:p>
        </w:tc>
        <w:tc>
          <w:tcPr>
            <w:tcW w:type="dxa" w:w="4320"/>
          </w:tcPr>
          <w:p>
            <w:r>
              <w:t>Shall provide input regarding privacy, personal data protection, cross-border transfer, data subject rights, and regulatory expectations affecting the ISMS.</w:t>
            </w:r>
          </w:p>
        </w:tc>
      </w:tr>
      <w:tr>
        <w:tc>
          <w:tcPr>
            <w:tcW w:type="dxa" w:w="4320"/>
          </w:tcPr>
          <w:p>
            <w:r>
              <w:t>IT and Technology Management</w:t>
            </w:r>
          </w:p>
        </w:tc>
        <w:tc>
          <w:tcPr>
            <w:tcW w:type="dxa" w:w="4320"/>
          </w:tcPr>
          <w:p>
            <w:r>
              <w:t>Shall identify technology, architecture, infrastructure, cloud, application, operational resilience, and technical lifecycle issues affecting the ISMS.</w:t>
            </w:r>
          </w:p>
        </w:tc>
      </w:tr>
      <w:tr>
        <w:tc>
          <w:tcPr>
            <w:tcW w:type="dxa" w:w="4320"/>
          </w:tcPr>
          <w:p>
            <w:r>
              <w:t>Business Process Owners</w:t>
            </w:r>
          </w:p>
        </w:tc>
        <w:tc>
          <w:tcPr>
            <w:tcW w:type="dxa" w:w="4320"/>
          </w:tcPr>
          <w:p>
            <w:r>
              <w:t>Shall identify business, operational, customer, service delivery, and process-specific issues that may affect information security risks or ISMS outcomes.</w:t>
            </w:r>
          </w:p>
        </w:tc>
      </w:tr>
      <w:tr>
        <w:tc>
          <w:tcPr>
            <w:tcW w:type="dxa" w:w="4320"/>
          </w:tcPr>
          <w:p>
            <w:r>
              <w:t>Human Resources</w:t>
            </w:r>
          </w:p>
        </w:tc>
        <w:tc>
          <w:tcPr>
            <w:tcW w:type="dxa" w:w="4320"/>
          </w:tcPr>
          <w:p>
            <w:r>
              <w:t>Shall identify workforce, competence, culture, employment, onboarding, offboarding, remote working, and disciplinary issues relevant to information security.</w:t>
            </w:r>
          </w:p>
        </w:tc>
      </w:tr>
      <w:tr>
        <w:tc>
          <w:tcPr>
            <w:tcW w:type="dxa" w:w="4320"/>
          </w:tcPr>
          <w:p>
            <w:r>
              <w:t>Procurement / Supplier Management</w:t>
            </w:r>
          </w:p>
        </w:tc>
        <w:tc>
          <w:tcPr>
            <w:tcW w:type="dxa" w:w="4320"/>
          </w:tcPr>
          <w:p>
            <w:r>
              <w:t>Shall identify supplier, outsourcing, third-party, subcontractor, and supply chain issues relevant to the ISMS.</w:t>
            </w:r>
          </w:p>
        </w:tc>
      </w:tr>
      <w:tr>
        <w:tc>
          <w:tcPr>
            <w:tcW w:type="dxa" w:w="4320"/>
          </w:tcPr>
          <w:p>
            <w:r>
              <w:t>Internal Audit</w:t>
            </w:r>
          </w:p>
        </w:tc>
        <w:tc>
          <w:tcPr>
            <w:tcW w:type="dxa" w:w="4320"/>
          </w:tcPr>
          <w:p>
            <w:r>
              <w:t>Shall independently assess, where included in the audit programme, whether context determination and review activities conform to this Policy and ISO/IEC 27001:2022 requirements.</w:t>
            </w:r>
          </w:p>
        </w:tc>
      </w:tr>
      <w:tr>
        <w:tc>
          <w:tcPr>
            <w:tcW w:type="dxa" w:w="4320"/>
          </w:tcPr>
          <w:p>
            <w:r>
              <w:t>All Personnel</w:t>
            </w:r>
          </w:p>
        </w:tc>
        <w:tc>
          <w:tcPr>
            <w:tcW w:type="dxa" w:w="4320"/>
          </w:tcPr>
          <w:p>
            <w:r>
              <w:t>Shall report known or suspected changes in internal or external circumstances that may materially affect information security or the ISMS.</w:t>
            </w:r>
          </w:p>
        </w:tc>
      </w:tr>
    </w:tbl>
    <w:p>
      <w:pPr>
        <w:pStyle w:val="Heading2"/>
      </w:pPr>
      <w:r>
        <w:t>Compliance, Monitoring &amp; Enforcement</w:t>
      </w:r>
    </w:p>
    <w:p>
      <w:r>
        <w:t>Compliance with this Policy is mandatory for all personnel and relevant third parties operating within the ISMS scope.</w:t>
      </w:r>
    </w:p>
    <w:p>
      <w:r>
        <w:t>The ISMS Manager shall monitor compliance with this Policy through planned and event-driven activities, including review of context records, risk management outputs, internal audits, management review inputs, and corrective action tracking.</w:t>
      </w:r>
    </w:p>
    <w:p>
      <w:r>
        <w:t>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Context of the Organisation Register for completeness and currency</w:t>
            </w:r>
          </w:p>
        </w:tc>
        <w:tc>
          <w:tcPr>
            <w:tcW w:type="dxa" w:w="2160"/>
          </w:tcPr>
          <w:p>
            <w:r>
              <w:t>At least quarterly</w:t>
            </w:r>
          </w:p>
        </w:tc>
        <w:tc>
          <w:tcPr>
            <w:tcW w:type="dxa" w:w="2160"/>
          </w:tcPr>
          <w:p>
            <w:r>
              <w:t>ISMS Manager</w:t>
            </w:r>
          </w:p>
        </w:tc>
        <w:tc>
          <w:tcPr>
            <w:tcW w:type="dxa" w:w="2160"/>
          </w:tcPr>
          <w:p>
            <w:r>
              <w:t>Updated register, review notes, action log</w:t>
            </w:r>
          </w:p>
        </w:tc>
      </w:tr>
      <w:tr>
        <w:tc>
          <w:tcPr>
            <w:tcW w:type="dxa" w:w="2160"/>
          </w:tcPr>
          <w:p>
            <w:r>
              <w:t>Formal context review for management review input</w:t>
            </w:r>
          </w:p>
        </w:tc>
        <w:tc>
          <w:tcPr>
            <w:tcW w:type="dxa" w:w="2160"/>
          </w:tcPr>
          <w:p>
            <w:r>
              <w:t>At least annually</w:t>
            </w:r>
          </w:p>
        </w:tc>
        <w:tc>
          <w:tcPr>
            <w:tcW w:type="dxa" w:w="2160"/>
          </w:tcPr>
          <w:p>
            <w:r>
              <w:t>ISMS Manager</w:t>
            </w:r>
          </w:p>
        </w:tc>
        <w:tc>
          <w:tcPr>
            <w:tcW w:type="dxa" w:w="2160"/>
          </w:tcPr>
          <w:p>
            <w:r>
              <w:t>Management review pack, meeting minutes</w:t>
            </w:r>
          </w:p>
        </w:tc>
      </w:tr>
      <w:tr>
        <w:tc>
          <w:tcPr>
            <w:tcW w:type="dxa" w:w="2160"/>
          </w:tcPr>
          <w:p>
            <w:r>
              <w:t>Review of context changes following trigger events</w:t>
            </w:r>
          </w:p>
        </w:tc>
        <w:tc>
          <w:tcPr>
            <w:tcW w:type="dxa" w:w="2160"/>
          </w:tcPr>
          <w:p>
            <w:r>
              <w:t>As required</w:t>
            </w:r>
          </w:p>
        </w:tc>
        <w:tc>
          <w:tcPr>
            <w:tcW w:type="dxa" w:w="2160"/>
          </w:tcPr>
          <w:p>
            <w:r>
              <w:t>ISMS Manager with relevant issue owner</w:t>
            </w:r>
          </w:p>
        </w:tc>
        <w:tc>
          <w:tcPr>
            <w:tcW w:type="dxa" w:w="2160"/>
          </w:tcPr>
          <w:p>
            <w:r>
              <w:t>Change assessment, updated register</w:t>
            </w:r>
          </w:p>
        </w:tc>
      </w:tr>
      <w:tr>
        <w:tc>
          <w:tcPr>
            <w:tcW w:type="dxa" w:w="2160"/>
          </w:tcPr>
          <w:p>
            <w:r>
              <w:t>Alignment check between context, ISMS scope, risk register, objectives, and Statement of Applicability</w:t>
            </w:r>
          </w:p>
        </w:tc>
        <w:tc>
          <w:tcPr>
            <w:tcW w:type="dxa" w:w="2160"/>
          </w:tcPr>
          <w:p>
            <w:r>
              <w:t>At least annually and after material change</w:t>
            </w:r>
          </w:p>
        </w:tc>
        <w:tc>
          <w:tcPr>
            <w:tcW w:type="dxa" w:w="2160"/>
          </w:tcPr>
          <w:p>
            <w:r>
              <w:t>ISMS Manager / Risk Management Function</w:t>
            </w:r>
          </w:p>
        </w:tc>
        <w:tc>
          <w:tcPr>
            <w:tcW w:type="dxa" w:w="2160"/>
          </w:tcPr>
          <w:p>
            <w:r>
              <w:t>Cross-reference review, corrective actions</w:t>
            </w:r>
          </w:p>
        </w:tc>
      </w:tr>
      <w:tr>
        <w:tc>
          <w:tcPr>
            <w:tcW w:type="dxa" w:w="2160"/>
          </w:tcPr>
          <w:p>
            <w:r>
              <w:t>Review of legal, regulatory, and contractual context changes</w:t>
            </w:r>
          </w:p>
        </w:tc>
        <w:tc>
          <w:tcPr>
            <w:tcW w:type="dxa" w:w="2160"/>
          </w:tcPr>
          <w:p>
            <w:r>
              <w:t>At least quarterly</w:t>
            </w:r>
          </w:p>
        </w:tc>
        <w:tc>
          <w:tcPr>
            <w:tcW w:type="dxa" w:w="2160"/>
          </w:tcPr>
          <w:p>
            <w:r>
              <w:t>Legal and Compliance Function</w:t>
            </w:r>
          </w:p>
        </w:tc>
        <w:tc>
          <w:tcPr>
            <w:tcW w:type="dxa" w:w="2160"/>
          </w:tcPr>
          <w:p>
            <w:r>
              <w:t>Compliance obligations register updates</w:t>
            </w:r>
          </w:p>
        </w:tc>
      </w:tr>
      <w:tr>
        <w:tc>
          <w:tcPr>
            <w:tcW w:type="dxa" w:w="2160"/>
          </w:tcPr>
          <w:p>
            <w:r>
              <w:t>Review of cyber threat and technology context</w:t>
            </w:r>
          </w:p>
        </w:tc>
        <w:tc>
          <w:tcPr>
            <w:tcW w:type="dxa" w:w="2160"/>
          </w:tcPr>
          <w:p>
            <w:r>
              <w:t>At least quarterly</w:t>
            </w:r>
          </w:p>
        </w:tc>
        <w:tc>
          <w:tcPr>
            <w:tcW w:type="dxa" w:w="2160"/>
          </w:tcPr>
          <w:p>
            <w:r>
              <w:t>Information Security Lead / IT Management</w:t>
            </w:r>
          </w:p>
        </w:tc>
        <w:tc>
          <w:tcPr>
            <w:tcW w:type="dxa" w:w="2160"/>
          </w:tcPr>
          <w:p>
            <w:r>
              <w:t>Threat intelligence summary, architecture review notes</w:t>
            </w:r>
          </w:p>
        </w:tc>
      </w:tr>
      <w:tr>
        <w:tc>
          <w:tcPr>
            <w:tcW w:type="dxa" w:w="2160"/>
          </w:tcPr>
          <w:p>
            <w:r>
              <w:t>Internal audit of conformity</w:t>
            </w:r>
          </w:p>
        </w:tc>
        <w:tc>
          <w:tcPr>
            <w:tcW w:type="dxa" w:w="2160"/>
          </w:tcPr>
          <w:p>
            <w:r>
              <w:t>As scheduled in the audit programme</w:t>
            </w:r>
          </w:p>
        </w:tc>
        <w:tc>
          <w:tcPr>
            <w:tcW w:type="dxa" w:w="2160"/>
          </w:tcPr>
          <w:p>
            <w:r>
              <w:t>Internal Audit</w:t>
            </w:r>
          </w:p>
        </w:tc>
        <w:tc>
          <w:tcPr>
            <w:tcW w:type="dxa" w:w="2160"/>
          </w:tcPr>
          <w:p>
            <w:r>
              <w:t>Audit report, findings, corrective actions</w:t>
            </w:r>
          </w:p>
        </w:tc>
      </w:tr>
    </w:tbl>
    <w:p>
      <w:r>
        <w:t>Non-compliance with this Policy may result in one or more of the following actions:</w:t>
      </w:r>
    </w:p>
    <w:p>
      <w:pPr>
        <w:pStyle w:val="ListBullet"/>
      </w:pPr>
      <w:r>
        <w:t>Requirement to update or correct documented information.</w:t>
      </w:r>
    </w:p>
    <w:p>
      <w:pPr>
        <w:pStyle w:val="ListBullet"/>
      </w:pPr>
      <w:r>
        <w:t>Assignment of corrective actions.</w:t>
      </w:r>
    </w:p>
    <w:p>
      <w:pPr>
        <w:pStyle w:val="ListBullet"/>
      </w:pPr>
      <w:r>
        <w:t>Escalation to management or the relevant governance forum.</w:t>
      </w:r>
    </w:p>
    <w:p>
      <w:pPr>
        <w:pStyle w:val="ListBullet"/>
      </w:pPr>
      <w:r>
        <w:t>Reassessment of information security risks.</w:t>
      </w:r>
    </w:p>
    <w:p>
      <w:pPr>
        <w:pStyle w:val="ListBullet"/>
      </w:pPr>
      <w:r>
        <w:t>Review of control effectiveness.</w:t>
      </w:r>
    </w:p>
    <w:p>
      <w:pPr>
        <w:pStyle w:val="ListBullet"/>
      </w:pPr>
      <w:r>
        <w:t>Additional training or awareness activities.</w:t>
      </w:r>
    </w:p>
    <w:p>
      <w:pPr>
        <w:pStyle w:val="ListBullet"/>
      </w:pPr>
      <w:r>
        <w:t>Disciplinary action in accordance with organisational policy.</w:t>
      </w:r>
    </w:p>
    <w:p>
      <w:pPr>
        <w:pStyle w:val="ListBullet"/>
      </w:pPr>
      <w:r>
        <w:t>Contractual remedies where non-compliance involves suppliers or third parties.</w:t>
      </w:r>
    </w:p>
    <w:p>
      <w:r>
        <w:t>Where non-compliance creates or contributes to an information security risk, the issue shall be recorded, assessed, and treated in accordance with the organisation’s information security risk management process.</w:t>
      </w:r>
    </w:p>
    <w:p>
      <w:r>
        <w:t>Evidence demonstrating compliance with this Policy shall be retained and protected in accordance with documented information control and retention requirements.</w:t>
      </w:r>
    </w:p>
    <w:p>
      <w:pPr>
        <w:pStyle w:val="Heading2"/>
      </w:pPr>
      <w:r>
        <w:t>Exceptions</w:t>
      </w:r>
    </w:p>
    <w:p>
      <w:r>
        <w:t>Exceptions to this Policy shall be permitted only where there is a documented and approved business justification and where the exception does not compromise the organisation’s ability to conform to ISO/IEC 27001:2022.</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ID</w:t>
            </w:r>
          </w:p>
        </w:tc>
        <w:tc>
          <w:tcPr>
            <w:tcW w:type="dxa" w:w="4320"/>
          </w:tcPr>
          <w:p>
            <w:r>
              <w:t>Unique identifier for tracking the exception.</w:t>
            </w:r>
          </w:p>
        </w:tc>
      </w:tr>
      <w:tr>
        <w:tc>
          <w:tcPr>
            <w:tcW w:type="dxa" w:w="4320"/>
          </w:tcPr>
          <w:p>
            <w:r>
              <w:t>Requestor</w:t>
            </w:r>
          </w:p>
        </w:tc>
        <w:tc>
          <w:tcPr>
            <w:tcW w:type="dxa" w:w="4320"/>
          </w:tcPr>
          <w:p>
            <w:r>
              <w:t>Name and role of the person requesting the exception.</w:t>
            </w:r>
          </w:p>
        </w:tc>
      </w:tr>
      <w:tr>
        <w:tc>
          <w:tcPr>
            <w:tcW w:type="dxa" w:w="4320"/>
          </w:tcPr>
          <w:p>
            <w:r>
              <w:t>Policy Requirement</w:t>
            </w:r>
          </w:p>
        </w:tc>
        <w:tc>
          <w:tcPr>
            <w:tcW w:type="dxa" w:w="4320"/>
          </w:tcPr>
          <w:p>
            <w:r>
              <w:t>Specific requirement for which an exception is requested.</w:t>
            </w:r>
          </w:p>
        </w:tc>
      </w:tr>
      <w:tr>
        <w:tc>
          <w:tcPr>
            <w:tcW w:type="dxa" w:w="4320"/>
          </w:tcPr>
          <w:p>
            <w:r>
              <w:t>Business Justification</w:t>
            </w:r>
          </w:p>
        </w:tc>
        <w:tc>
          <w:tcPr>
            <w:tcW w:type="dxa" w:w="4320"/>
          </w:tcPr>
          <w:p>
            <w:r>
              <w:t>Explanation of why the exception is required.</w:t>
            </w:r>
          </w:p>
        </w:tc>
      </w:tr>
      <w:tr>
        <w:tc>
          <w:tcPr>
            <w:tcW w:type="dxa" w:w="4320"/>
          </w:tcPr>
          <w:p>
            <w:r>
              <w:t>Risk Assessment</w:t>
            </w:r>
          </w:p>
        </w:tc>
        <w:tc>
          <w:tcPr>
            <w:tcW w:type="dxa" w:w="4320"/>
          </w:tcPr>
          <w:p>
            <w:r>
              <w:t>Assessment of the information security and ISMS conformity risk.</w:t>
            </w:r>
          </w:p>
        </w:tc>
      </w:tr>
      <w:tr>
        <w:tc>
          <w:tcPr>
            <w:tcW w:type="dxa" w:w="4320"/>
          </w:tcPr>
          <w:p>
            <w:r>
              <w:t>Compensating Measures</w:t>
            </w:r>
          </w:p>
        </w:tc>
        <w:tc>
          <w:tcPr>
            <w:tcW w:type="dxa" w:w="4320"/>
          </w:tcPr>
          <w:p>
            <w:r>
              <w:t>Controls or actions to reduce associated risk.</w:t>
            </w:r>
          </w:p>
        </w:tc>
      </w:tr>
      <w:tr>
        <w:tc>
          <w:tcPr>
            <w:tcW w:type="dxa" w:w="4320"/>
          </w:tcPr>
          <w:p>
            <w:r>
              <w:t>Duration</w:t>
            </w:r>
          </w:p>
        </w:tc>
        <w:tc>
          <w:tcPr>
            <w:tcW w:type="dxa" w:w="4320"/>
          </w:tcPr>
          <w:p>
            <w:r>
              <w:t>Requested start and end date of the exception.</w:t>
            </w:r>
          </w:p>
        </w:tc>
      </w:tr>
      <w:tr>
        <w:tc>
          <w:tcPr>
            <w:tcW w:type="dxa" w:w="4320"/>
          </w:tcPr>
          <w:p>
            <w:r>
              <w:t>Approval</w:t>
            </w:r>
          </w:p>
        </w:tc>
        <w:tc>
          <w:tcPr>
            <w:tcW w:type="dxa" w:w="4320"/>
          </w:tcPr>
          <w:p>
            <w:r>
              <w:t>Required approval by the ISMS Manager and relevant risk owner.</w:t>
            </w:r>
          </w:p>
        </w:tc>
      </w:tr>
      <w:tr>
        <w:tc>
          <w:tcPr>
            <w:tcW w:type="dxa" w:w="4320"/>
          </w:tcPr>
          <w:p>
            <w:r>
              <w:t>Review Date</w:t>
            </w:r>
          </w:p>
        </w:tc>
        <w:tc>
          <w:tcPr>
            <w:tcW w:type="dxa" w:w="4320"/>
          </w:tcPr>
          <w:p>
            <w:r>
              <w:t>Date by which the exception shall be reviewed.</w:t>
            </w:r>
          </w:p>
        </w:tc>
      </w:tr>
    </w:tbl>
    <w:p>
      <w:r>
        <w:t>Exceptions shall be time-bound and shall not exceed [maximum exception period, e.g., 12 months] without renewed approval.</w:t>
      </w:r>
    </w:p>
    <w:p>
      <w:r>
        <w:t>The ISMS Manager shall maintain an Exceptions Register and shall review open exceptions at least quarterly.</w:t>
      </w:r>
    </w:p>
    <w:p>
      <w:r>
        <w:t>Any exception that may materially affect ISMS conformity, certification status, legal compliance, or organisational risk appetite shall be escalated to executive management or the appropriate governance body.</w:t>
      </w:r>
    </w:p>
    <w:p>
      <w:r>
        <w:t>Expired exceptions shall be closed, renewed through formal approval, or remediated without undue delay.</w:t>
      </w:r>
    </w:p>
    <w:p>
      <w:pPr>
        <w:pStyle w:val="Heading2"/>
      </w:pPr>
      <w:r>
        <w:t>Review &amp; Maintenance</w:t>
      </w:r>
    </w:p>
    <w:p>
      <w:r>
        <w:t>This Policy shall be reviewed at least annually and whenever significant changes occur that may affect the organisation’s context or ISMS conformity.</w:t>
      </w:r>
    </w:p>
    <w:p>
      <w:r>
        <w:t>Reviews shall consider, at minimum:</w:t>
      </w:r>
    </w:p>
    <w:p>
      <w:pPr>
        <w:pStyle w:val="ListBullet"/>
      </w:pPr>
      <w:r>
        <w:t>Changes to ISO/IEC 27001:2022 or related guidance.</w:t>
      </w:r>
    </w:p>
    <w:p>
      <w:pPr>
        <w:pStyle w:val="ListBullet"/>
      </w:pPr>
      <w:r>
        <w:t>Changes to organisational strategy, structure, business model, products, or services.</w:t>
      </w:r>
    </w:p>
    <w:p>
      <w:pPr>
        <w:pStyle w:val="ListBullet"/>
      </w:pPr>
      <w:r>
        <w:t>Changes to ISMS scope, objectives, risks, or controls.</w:t>
      </w:r>
    </w:p>
    <w:p>
      <w:pPr>
        <w:pStyle w:val="ListBullet"/>
      </w:pPr>
      <w:r>
        <w:t>Changes in legal, regulatory, statutory, contractual, or customer requirements.</w:t>
      </w:r>
    </w:p>
    <w:p>
      <w:pPr>
        <w:pStyle w:val="ListBullet"/>
      </w:pPr>
      <w:r>
        <w:t>Changes in technologies, infrastructure, cloud services, outsourcing, or third-party dependencies.</w:t>
      </w:r>
    </w:p>
    <w:p>
      <w:pPr>
        <w:pStyle w:val="ListBullet"/>
      </w:pPr>
      <w:r>
        <w:t>Changes in cyber threat landscape, vulnerabilities, or incident trends.</w:t>
      </w:r>
    </w:p>
    <w:p>
      <w:pPr>
        <w:pStyle w:val="ListBullet"/>
      </w:pPr>
      <w:r>
        <w:t>Results of internal audits, external audits, certification audits, and management reviews.</w:t>
      </w:r>
    </w:p>
    <w:p>
      <w:pPr>
        <w:pStyle w:val="ListBullet"/>
      </w:pPr>
      <w:r>
        <w:t>Corrective actions, nonconformities, and opportunities for improvement.</w:t>
      </w:r>
    </w:p>
    <w:p>
      <w:pPr>
        <w:pStyle w:val="ListBullet"/>
      </w:pPr>
      <w:r>
        <w:t>Feedback from process owners, risk owners, and interested parties.</w:t>
      </w:r>
    </w:p>
    <w:p>
      <w:r>
        <w:t>The ISMS Manager shall be responsible for coordinating the review and maintenance of this Policy.</w:t>
      </w:r>
    </w:p>
    <w:p>
      <w:r>
        <w:t>Material changes to this Policy shall be approved by [approval authority, e.g., Executive Management / Information Security Steering Committee] prior to publication.</w:t>
      </w:r>
    </w:p>
    <w:p>
      <w:r>
        <w:t>The current approved version of this Policy shall be made available to relevant personnel and interested parties as appropriate.</w:t>
      </w:r>
    </w:p>
    <w:p>
      <w:r>
        <w:t>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