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Privacy / PII Protection Policy</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Document ID</w:t>
            </w:r>
          </w:p>
        </w:tc>
        <w:tc>
          <w:tcPr>
            <w:tcW w:type="dxa" w:w="1234"/>
          </w:tcPr>
          <w:p>
            <w:r>
              <w:t>Version</w:t>
            </w:r>
          </w:p>
        </w:tc>
        <w:tc>
          <w:tcPr>
            <w:tcW w:type="dxa" w:w="1234"/>
          </w:tcPr>
          <w:p>
            <w:r>
              <w:t>Owner</w:t>
            </w:r>
          </w:p>
        </w:tc>
        <w:tc>
          <w:tcPr>
            <w:tcW w:type="dxa" w:w="1234"/>
          </w:tcPr>
          <w:p>
            <w:r>
              <w:t>Effective Date</w:t>
            </w:r>
          </w:p>
        </w:tc>
        <w:tc>
          <w:tcPr>
            <w:tcW w:type="dxa" w:w="1234"/>
          </w:tcPr>
          <w:p>
            <w:r>
              <w:t>Framework</w:t>
            </w:r>
          </w:p>
        </w:tc>
        <w:tc>
          <w:tcPr>
            <w:tcW w:type="dxa" w:w="1234"/>
          </w:tcPr>
          <w:p>
            <w:r>
              <w:t>Control Reference</w:t>
            </w:r>
          </w:p>
        </w:tc>
        <w:tc>
          <w:tcPr>
            <w:tcW w:type="dxa" w:w="1234"/>
          </w:tcPr>
          <w:p>
            <w:r>
              <w:t>Classification</w:t>
            </w:r>
          </w:p>
        </w:tc>
      </w:tr>
      <w:tr>
        <w:tc>
          <w:tcPr>
            <w:tcW w:type="dxa" w:w="1234"/>
          </w:tcPr>
          <w:p>
            <w:r>
              <w:t>[POL-PRIV-001]</w:t>
            </w:r>
          </w:p>
        </w:tc>
        <w:tc>
          <w:tcPr>
            <w:tcW w:type="dxa" w:w="1234"/>
          </w:tcPr>
          <w:p>
            <w:r>
              <w:t>1.0</w:t>
            </w:r>
          </w:p>
        </w:tc>
        <w:tc>
          <w:tcPr>
            <w:tcW w:type="dxa" w:w="1234"/>
          </w:tcPr>
          <w:p>
            <w:r>
              <w:t>Data Protection Officer / Privacy Officer</w:t>
            </w:r>
          </w:p>
        </w:tc>
        <w:tc>
          <w:tcPr>
            <w:tcW w:type="dxa" w:w="1234"/>
          </w:tcPr>
          <w:p>
            <w:r>
              <w:t>[Effective Date]</w:t>
            </w:r>
          </w:p>
        </w:tc>
        <w:tc>
          <w:tcPr>
            <w:tcW w:type="dxa" w:w="1234"/>
          </w:tcPr>
          <w:p>
            <w:r>
              <w:t>ISO/IEC 27001:2022</w:t>
            </w:r>
          </w:p>
        </w:tc>
        <w:tc>
          <w:tcPr>
            <w:tcW w:type="dxa" w:w="1234"/>
          </w:tcPr>
          <w:p>
            <w:r>
              <w:t>Annex A.5.34 — Privacy and Protection of PII</w:t>
            </w:r>
          </w:p>
        </w:tc>
        <w:tc>
          <w:tcPr>
            <w:tcW w:type="dxa" w:w="1234"/>
          </w:tcPr>
          <w:p>
            <w:r>
              <w:t>Internal</w:t>
            </w:r>
          </w:p>
        </w:tc>
      </w:tr>
    </w:tbl>
    <w:p>
      <w:pPr>
        <w:pStyle w:val="Heading2"/>
      </w:pPr>
      <w:r>
        <w:t>Purpose</w:t>
      </w:r>
    </w:p>
    <w:p>
      <w:r>
        <w:t>The purpose of this Privacy / Personally Identifiable Information Protection Policy is to establish mandatory requirements for the protection of personally identifiable information (PII) processed by the organisation.</w:t>
      </w:r>
    </w:p>
    <w:p>
      <w:r>
        <w:t>This Policy supports implementation of ISO/IEC 27001:2022 Annex A.5.34 by ensuring that PII is identified, handled, protected, retained, transferred and disposed of in accordance with applicable privacy laws, regulatory obligations, contractual requirements and the organisation’s information security management system (ISMS).</w:t>
      </w:r>
    </w:p>
    <w:p>
      <w:r>
        <w:t>This Policy is intended to ensure that the organisation:</w:t>
      </w:r>
    </w:p>
    <w:p>
      <w:pPr>
        <w:pStyle w:val="ListBullet"/>
      </w:pPr>
      <w:r>
        <w:t>Processes PII lawfully, fairly and transparently.</w:t>
      </w:r>
    </w:p>
    <w:p>
      <w:pPr>
        <w:pStyle w:val="ListBullet"/>
      </w:pPr>
      <w:r>
        <w:t>Protects the confidentiality, integrity and availability of PII.</w:t>
      </w:r>
    </w:p>
    <w:p>
      <w:pPr>
        <w:pStyle w:val="ListBullet"/>
      </w:pPr>
      <w:r>
        <w:t>Applies appropriate privacy and security controls throughout the PII lifecycle.</w:t>
      </w:r>
    </w:p>
    <w:p>
      <w:pPr>
        <w:pStyle w:val="ListBullet"/>
      </w:pPr>
      <w:r>
        <w:t>Minimises the risk of unauthorised access, disclosure, alteration, loss or misuse of PII.</w:t>
      </w:r>
    </w:p>
    <w:p>
      <w:pPr>
        <w:pStyle w:val="ListBullet"/>
      </w:pPr>
      <w:r>
        <w:t>Demonstrates accountability for privacy and PII protection obligations.</w:t>
      </w:r>
    </w:p>
    <w:p>
      <w:pPr>
        <w:pStyle w:val="Heading2"/>
      </w:pPr>
      <w:r>
        <w:t>Scope</w:t>
      </w:r>
    </w:p>
    <w:p>
      <w:r>
        <w:t>This Policy applies to:</w:t>
      </w:r>
    </w:p>
    <w:p>
      <w:pPr>
        <w:pStyle w:val="ListBullet"/>
      </w:pPr>
      <w:r>
        <w:t>All employees, contractors, temporary workers, consultants, interns and third parties who access, process, store, transmit or manage PII on behalf of the organisation.</w:t>
      </w:r>
    </w:p>
    <w:p>
      <w:pPr>
        <w:pStyle w:val="ListBullet"/>
      </w:pPr>
      <w:r>
        <w:t>All PII processed by the organisation, regardless of format, location, system, process or medium.</w:t>
      </w:r>
    </w:p>
    <w:p>
      <w:pPr>
        <w:pStyle w:val="ListBullet"/>
      </w:pPr>
      <w:r>
        <w:t>All information assets, applications, databases, cloud services, endpoints, networks, physical records, backups and removable media that store or process PII.</w:t>
      </w:r>
    </w:p>
    <w:p>
      <w:pPr>
        <w:pStyle w:val="ListBullet"/>
      </w:pPr>
      <w:r>
        <w:t>All processing activities involving PII, including collection, recording, use, access, sharing, transfer, retention, archival, anonymisation, pseudonymisation and destruction.</w:t>
      </w:r>
    </w:p>
    <w:p>
      <w:pPr>
        <w:pStyle w:val="ListBullet"/>
      </w:pPr>
      <w:r>
        <w:t>All business units, subsidiaries and locations within the scope of the ISMS.</w:t>
      </w:r>
    </w:p>
    <w:p>
      <w:r>
        <w:t>For the purposes of this Policy:</w:t>
      </w:r>
    </w:p>
    <w:tbl>
      <w:tblPr>
        <w:tblStyle w:val="TableGrid"/>
        <w:tblW w:type="auto" w:w="0"/>
        <w:tblLook w:firstColumn="1" w:firstRow="1" w:lastColumn="0" w:lastRow="0" w:noHBand="0" w:noVBand="1" w:val="04A0"/>
      </w:tblPr>
      <w:tblGrid>
        <w:gridCol w:w="4320"/>
        <w:gridCol w:w="4320"/>
      </w:tblGrid>
      <w:tr>
        <w:tc>
          <w:tcPr>
            <w:tcW w:type="dxa" w:w="4320"/>
          </w:tcPr>
          <w:p>
            <w:r>
              <w:t>Term</w:t>
            </w:r>
          </w:p>
        </w:tc>
        <w:tc>
          <w:tcPr>
            <w:tcW w:type="dxa" w:w="4320"/>
          </w:tcPr>
          <w:p>
            <w:r>
              <w:t>Definition</w:t>
            </w:r>
          </w:p>
        </w:tc>
      </w:tr>
      <w:tr>
        <w:tc>
          <w:tcPr>
            <w:tcW w:type="dxa" w:w="4320"/>
          </w:tcPr>
          <w:p>
            <w:r>
              <w:t>PII</w:t>
            </w:r>
          </w:p>
        </w:tc>
        <w:tc>
          <w:tcPr>
            <w:tcW w:type="dxa" w:w="4320"/>
          </w:tcPr>
          <w:p>
            <w:r>
              <w:t>Any information that identifies, relates to, describes, is reasonably capable of being associated with, or could reasonably be linked directly or indirectly to an identified or identifiable natural person.</w:t>
            </w:r>
          </w:p>
        </w:tc>
      </w:tr>
      <w:tr>
        <w:tc>
          <w:tcPr>
            <w:tcW w:type="dxa" w:w="4320"/>
          </w:tcPr>
          <w:p>
            <w:r>
              <w:t>Sensitive PII</w:t>
            </w:r>
          </w:p>
        </w:tc>
        <w:tc>
          <w:tcPr>
            <w:tcW w:type="dxa" w:w="4320"/>
          </w:tcPr>
          <w:p>
            <w:r>
              <w:t>PII that presents a higher privacy or security risk if compromised, including government identifiers, financial data, authentication credentials, health data, biometric data, precise location data, children’s data, and any special categories of personal data defined by applicable law.</w:t>
            </w:r>
          </w:p>
        </w:tc>
      </w:tr>
      <w:tr>
        <w:tc>
          <w:tcPr>
            <w:tcW w:type="dxa" w:w="4320"/>
          </w:tcPr>
          <w:p>
            <w:r>
              <w:t>Processing</w:t>
            </w:r>
          </w:p>
        </w:tc>
        <w:tc>
          <w:tcPr>
            <w:tcW w:type="dxa" w:w="4320"/>
          </w:tcPr>
          <w:p>
            <w:r>
              <w:t>Any operation performed on PII, including collection, recording, organisation, structuring, storage, adaptation, retrieval, consultation, use, disclosure, transmission, restriction, erasure or destruction.</w:t>
            </w:r>
          </w:p>
        </w:tc>
      </w:tr>
      <w:tr>
        <w:tc>
          <w:tcPr>
            <w:tcW w:type="dxa" w:w="4320"/>
          </w:tcPr>
          <w:p>
            <w:r>
              <w:t>Data Subject</w:t>
            </w:r>
          </w:p>
        </w:tc>
        <w:tc>
          <w:tcPr>
            <w:tcW w:type="dxa" w:w="4320"/>
          </w:tcPr>
          <w:p>
            <w:r>
              <w:t>The natural person to whom PII relates.</w:t>
            </w:r>
          </w:p>
        </w:tc>
      </w:tr>
      <w:tr>
        <w:tc>
          <w:tcPr>
            <w:tcW w:type="dxa" w:w="4320"/>
          </w:tcPr>
          <w:p>
            <w:r>
              <w:t>Controller</w:t>
            </w:r>
          </w:p>
        </w:tc>
        <w:tc>
          <w:tcPr>
            <w:tcW w:type="dxa" w:w="4320"/>
          </w:tcPr>
          <w:p>
            <w:r>
              <w:t>The party that determines the purposes and means of processing PII.</w:t>
            </w:r>
          </w:p>
        </w:tc>
      </w:tr>
      <w:tr>
        <w:tc>
          <w:tcPr>
            <w:tcW w:type="dxa" w:w="4320"/>
          </w:tcPr>
          <w:p>
            <w:r>
              <w:t>Processor</w:t>
            </w:r>
          </w:p>
        </w:tc>
        <w:tc>
          <w:tcPr>
            <w:tcW w:type="dxa" w:w="4320"/>
          </w:tcPr>
          <w:p>
            <w:r>
              <w:t>The party that processes PII on behalf of a controller.</w:t>
            </w:r>
          </w:p>
        </w:tc>
      </w:tr>
    </w:tbl>
    <w:p>
      <w:pPr>
        <w:pStyle w:val="Heading2"/>
      </w:pPr>
      <w:r>
        <w:t>Policy Statements</w:t>
      </w:r>
    </w:p>
    <w:p>
      <w:pPr>
        <w:pStyle w:val="ListBullet"/>
      </w:pPr>
      <w:r>
        <w:t>The organisation shall identify, document and maintain an inventory of processing activities involving PII, including the purpose of processing, categories of PII, data subjects, systems, storage locations, recipients, retention periods and applicable legal or contractual obligations.</w:t>
      </w:r>
    </w:p>
    <w:p>
      <w:pPr>
        <w:pStyle w:val="ListBullet"/>
      </w:pPr>
      <w:r>
        <w:t>The organisation shall process PII only where there is a documented and lawful basis, legitimate business purpose, contractual obligation, regulatory requirement or other approved justification.</w:t>
      </w:r>
    </w:p>
    <w:p>
      <w:pPr>
        <w:pStyle w:val="ListBullet"/>
      </w:pPr>
      <w:r>
        <w:t>The organisation shall collect only the minimum PII necessary to fulfil a documented and approved business purpose.</w:t>
      </w:r>
    </w:p>
    <w:p>
      <w:pPr>
        <w:pStyle w:val="ListBullet"/>
      </w:pPr>
      <w:r>
        <w:t>The organisation shall not process PII for purposes that are incompatible with the original stated purpose unless permitted by applicable law, supported by an approved lawful basis and communicated where required.</w:t>
      </w:r>
    </w:p>
    <w:p>
      <w:pPr>
        <w:pStyle w:val="ListBullet"/>
      </w:pPr>
      <w:r>
        <w:t>The organisation shall classify PII in accordance with the organisation’s information classification scheme and apply handling controls appropriate to its sensitivity, volume, context and risk.</w:t>
      </w:r>
    </w:p>
    <w:p>
      <w:pPr>
        <w:pStyle w:val="ListBullet"/>
      </w:pPr>
      <w:r>
        <w:t>The organisation shall identify and classify sensitive PII and apply enhanced protection measures, including stricter access controls, encryption, monitoring and approval requirements.</w:t>
      </w:r>
    </w:p>
    <w:p>
      <w:pPr>
        <w:pStyle w:val="ListBullet"/>
      </w:pPr>
      <w:r>
        <w:t>The organisation shall provide appropriate privacy notices or disclosures to data subjects where required by applicable law, contract or organisational policy.</w:t>
      </w:r>
    </w:p>
    <w:p>
      <w:pPr>
        <w:pStyle w:val="ListBullet"/>
      </w:pPr>
      <w:r>
        <w:t>The organisation shall maintain mechanisms to receive, assess and respond to data subject rights requests, including requests for access, correction, deletion, restriction, portability, objection or withdrawal of consent, where applicable.</w:t>
      </w:r>
    </w:p>
    <w:p>
      <w:pPr>
        <w:pStyle w:val="ListBullet"/>
      </w:pPr>
      <w:r>
        <w:t>The organisation shall maintain records of consent where consent is used as the lawful basis for processing PII.</w:t>
      </w:r>
    </w:p>
    <w:p>
      <w:pPr>
        <w:pStyle w:val="ListBullet"/>
      </w:pPr>
      <w:r>
        <w:t>The organisation shall ensure consent is freely given, specific, informed and unambiguous where required, and shall provide an effective mechanism for withdrawal of consent.</w:t>
      </w:r>
    </w:p>
    <w:p>
      <w:pPr>
        <w:pStyle w:val="ListBullet"/>
      </w:pPr>
      <w:r>
        <w:t>The organisation shall implement access controls to ensure PII is accessible only to authorised personnel and systems based on the principles of least privilege and need to know.</w:t>
      </w:r>
    </w:p>
    <w:p>
      <w:pPr>
        <w:pStyle w:val="ListBullet"/>
      </w:pPr>
      <w:r>
        <w:t>The organisation shall review access to systems and repositories containing PII at defined intervals and upon role change, transfer or termination.</w:t>
      </w:r>
    </w:p>
    <w:p>
      <w:pPr>
        <w:pStyle w:val="ListBullet"/>
      </w:pPr>
      <w:r>
        <w:t>Privileged access to PII shall be restricted, monitored and subject to enhanced authentication and authorisation controls.</w:t>
      </w:r>
    </w:p>
    <w:p>
      <w:pPr>
        <w:pStyle w:val="ListBullet"/>
      </w:pPr>
      <w:r>
        <w:t>The organisation shall use strong authentication mechanisms for access to systems that store or process PII, commensurate with the risk and sensitivity of the PII.</w:t>
      </w:r>
    </w:p>
    <w:p>
      <w:pPr>
        <w:pStyle w:val="ListBullet"/>
      </w:pPr>
      <w:r>
        <w:t>The organisation shall protect PII from unauthorised disclosure during storage, processing and transmission through appropriate technical and organisational controls.</w:t>
      </w:r>
    </w:p>
    <w:p>
      <w:pPr>
        <w:pStyle w:val="ListBullet"/>
      </w:pPr>
      <w:r>
        <w:t>The organisation shall encrypt sensitive PII at rest and in transit where technically feasible and proportionate to risk.</w:t>
      </w:r>
    </w:p>
    <w:p>
      <w:pPr>
        <w:pStyle w:val="ListBullet"/>
      </w:pPr>
      <w:r>
        <w:t>Where encryption is not feasible, the organisation shall document the rationale and implement compensating controls approved through the exception process.</w:t>
      </w:r>
    </w:p>
    <w:p>
      <w:pPr>
        <w:pStyle w:val="ListBullet"/>
      </w:pPr>
      <w:r>
        <w:t>The organisation shall apply pseudonymisation, anonymisation, tokenisation, masking or redaction where appropriate to reduce privacy risk.</w:t>
      </w:r>
    </w:p>
    <w:p>
      <w:pPr>
        <w:pStyle w:val="ListBullet"/>
      </w:pPr>
      <w:r>
        <w:t>PII used for development, testing, training or analytics shall be anonymised, pseudonymised or otherwise protected unless use of identifiable PII has been formally approved and risk assessed.</w:t>
      </w:r>
    </w:p>
    <w:p>
      <w:pPr>
        <w:pStyle w:val="ListBullet"/>
      </w:pPr>
      <w:r>
        <w:t>The organisation shall not use production PII in non-production environments unless there is a documented business requirement, approved risk assessment and equivalent security controls.</w:t>
      </w:r>
    </w:p>
    <w:p>
      <w:pPr>
        <w:pStyle w:val="ListBullet"/>
      </w:pPr>
      <w:r>
        <w:t>The organisation shall establish and maintain retention schedules for PII based on legal, regulatory, contractual and business requirements.</w:t>
      </w:r>
    </w:p>
    <w:p>
      <w:pPr>
        <w:pStyle w:val="ListBullet"/>
      </w:pPr>
      <w:r>
        <w:t>PII shall not be retained longer than necessary for the purpose for which it was collected, unless retention is required by law, litigation hold, contractual obligation or approved business need.</w:t>
      </w:r>
    </w:p>
    <w:p>
      <w:pPr>
        <w:pStyle w:val="ListBullet"/>
      </w:pPr>
      <w:r>
        <w:t>The organisation shall securely delete, destroy, anonymise or return PII at the end of its approved retention period or upon termination of processing, unless continued retention is legally required.</w:t>
      </w:r>
    </w:p>
    <w:p>
      <w:pPr>
        <w:pStyle w:val="ListBullet"/>
      </w:pPr>
      <w:r>
        <w:t>Disposal of PII shall be performed using approved secure disposal methods appropriate to the medium and sensitivity of the PII.</w:t>
      </w:r>
    </w:p>
    <w:p>
      <w:pPr>
        <w:pStyle w:val="ListBullet"/>
      </w:pPr>
      <w:r>
        <w:t>The organisation shall maintain evidence of secure destruction for PII where required by law, contract, risk assessment or internal procedure.</w:t>
      </w:r>
    </w:p>
    <w:p>
      <w:pPr>
        <w:pStyle w:val="ListBullet"/>
      </w:pPr>
      <w:r>
        <w:t>The organisation shall conduct privacy risk assessments for new or materially changed processing activities involving PII.</w:t>
      </w:r>
    </w:p>
    <w:p>
      <w:pPr>
        <w:pStyle w:val="ListBullet"/>
      </w:pPr>
      <w:r>
        <w:t>The organisation shall conduct Data Protection Impact Assessments or equivalent privacy impact assessments for processing likely to result in high risk to individuals, including large-scale processing, profiling, automated decision-making, sensitive PII processing or systematic monitoring.</w:t>
      </w:r>
    </w:p>
    <w:p>
      <w:pPr>
        <w:pStyle w:val="ListBullet"/>
      </w:pPr>
      <w:r>
        <w:t>Privacy and PII protection requirements shall be incorporated into the design, development, acquisition and change management of systems, services and business processes.</w:t>
      </w:r>
    </w:p>
    <w:p>
      <w:pPr>
        <w:pStyle w:val="ListBullet"/>
      </w:pPr>
      <w:r>
        <w:t>The organisation shall apply privacy by design and privacy by default principles when implementing systems and processes that handle PII.</w:t>
      </w:r>
    </w:p>
    <w:p>
      <w:pPr>
        <w:pStyle w:val="ListBullet"/>
      </w:pPr>
      <w:r>
        <w:t>The organisation shall ensure that default settings in systems and services minimise unnecessary collection, use, sharing, visibility and retention of PII.</w:t>
      </w:r>
    </w:p>
    <w:p>
      <w:pPr>
        <w:pStyle w:val="ListBullet"/>
      </w:pPr>
      <w:r>
        <w:t>The organisation shall ensure that third parties processing PII on behalf of the organisation are subject to documented due diligence, risk assessment and contractual privacy and security obligations.</w:t>
      </w:r>
    </w:p>
    <w:p>
      <w:pPr>
        <w:pStyle w:val="ListBullet"/>
      </w:pPr>
      <w:r>
        <w:t>Contracts with third parties that process PII shall define the subject matter, duration, nature and purpose of processing, categories of PII, categories of data subjects, confidentiality obligations, security requirements, subcontracting restrictions, breach notification requirements, audit rights, return or deletion obligations and cross-border transfer requirements.</w:t>
      </w:r>
    </w:p>
    <w:p>
      <w:pPr>
        <w:pStyle w:val="ListBullet"/>
      </w:pPr>
      <w:r>
        <w:t>The organisation shall maintain an inventory of third parties and subprocessors that process PII on behalf of the organisation.</w:t>
      </w:r>
    </w:p>
    <w:p>
      <w:pPr>
        <w:pStyle w:val="ListBullet"/>
      </w:pPr>
      <w:r>
        <w:t>Third parties shall be authorised to process PII only in accordance with documented instructions and applicable contractual terms.</w:t>
      </w:r>
    </w:p>
    <w:p>
      <w:pPr>
        <w:pStyle w:val="ListBullet"/>
      </w:pPr>
      <w:r>
        <w:t>The organisation shall assess and manage risks associated with cross-border transfers of PII and shall implement appropriate legal, contractual and technical safeguards before such transfers occur.</w:t>
      </w:r>
    </w:p>
    <w:p>
      <w:pPr>
        <w:pStyle w:val="ListBullet"/>
      </w:pPr>
      <w:r>
        <w:t>PII shall not be transferred to another jurisdiction unless the transfer is permitted under applicable privacy law and approved organisational processes.</w:t>
      </w:r>
    </w:p>
    <w:p>
      <w:pPr>
        <w:pStyle w:val="ListBullet"/>
      </w:pPr>
      <w:r>
        <w:t>The organisation shall ensure that PII shared internally is limited to authorised recipients and approved business purposes.</w:t>
      </w:r>
    </w:p>
    <w:p>
      <w:pPr>
        <w:pStyle w:val="ListBullet"/>
      </w:pPr>
      <w:r>
        <w:t>The organisation shall prohibit unauthorised copying, downloading, printing, emailing, uploading or removal of PII from approved systems or locations.</w:t>
      </w:r>
    </w:p>
    <w:p>
      <w:pPr>
        <w:pStyle w:val="ListBullet"/>
      </w:pPr>
      <w:r>
        <w:t>PII shall not be stored in unauthorised repositories, personal cloud storage, unmanaged devices, removable media or unapproved messaging platforms.</w:t>
      </w:r>
    </w:p>
    <w:p>
      <w:pPr>
        <w:pStyle w:val="ListBullet"/>
      </w:pPr>
      <w:r>
        <w:t>The organisation shall define approved channels and methods for transmitting PII, including secure file transfer, encrypted email, approved collaboration platforms or other controlled mechanisms.</w:t>
      </w:r>
    </w:p>
    <w:p>
      <w:pPr>
        <w:pStyle w:val="ListBullet"/>
      </w:pPr>
      <w:r>
        <w:t>The organisation shall log and monitor access to sensitive PII and high-risk PII processing environments, where technically feasible and proportionate to risk.</w:t>
      </w:r>
    </w:p>
    <w:p>
      <w:pPr>
        <w:pStyle w:val="ListBullet"/>
      </w:pPr>
      <w:r>
        <w:t>Monitoring activities involving PII shall be conducted in accordance with applicable laws, internal policies and documented legitimate purposes.</w:t>
      </w:r>
    </w:p>
    <w:p>
      <w:pPr>
        <w:pStyle w:val="ListBullet"/>
      </w:pPr>
      <w:r>
        <w:t>The organisation shall protect audit logs containing PII from unauthorised access, alteration and deletion.</w:t>
      </w:r>
    </w:p>
    <w:p>
      <w:pPr>
        <w:pStyle w:val="ListBullet"/>
      </w:pPr>
      <w:r>
        <w:t>The organisation shall establish and maintain procedures for identifying, reporting, investigating, managing and notifying personal data breaches or suspected compromises of PII.</w:t>
      </w:r>
    </w:p>
    <w:p>
      <w:pPr>
        <w:pStyle w:val="ListBullet"/>
      </w:pPr>
      <w:r>
        <w:t>Suspected or confirmed PII breaches shall be reported immediately through the organisation’s incident reporting channels.</w:t>
      </w:r>
    </w:p>
    <w:p>
      <w:pPr>
        <w:pStyle w:val="ListBullet"/>
      </w:pPr>
      <w:r>
        <w:t>The organisation shall assess whether a PII breach requires notification to regulators, affected individuals, customers, partners or other stakeholders within legally required timeframes.</w:t>
      </w:r>
    </w:p>
    <w:p>
      <w:pPr>
        <w:pStyle w:val="ListBullet"/>
      </w:pPr>
      <w:r>
        <w:t>The organisation shall maintain records of PII incidents and breaches, including facts, effects, decisions, notifications, remediation actions and lessons learned.</w:t>
      </w:r>
    </w:p>
    <w:p>
      <w:pPr>
        <w:pStyle w:val="ListBullet"/>
      </w:pPr>
      <w:r>
        <w:t>Personnel with access to PII shall complete privacy and information security awareness training at onboarding and periodically thereafter.</w:t>
      </w:r>
    </w:p>
    <w:p>
      <w:pPr>
        <w:pStyle w:val="ListBullet"/>
      </w:pPr>
      <w:r>
        <w:t>Personnel with roles involving high-risk PII processing shall receive role-specific privacy and PII protection training.</w:t>
      </w:r>
    </w:p>
    <w:p>
      <w:pPr>
        <w:pStyle w:val="ListBullet"/>
      </w:pPr>
      <w:r>
        <w:t>The organisation shall ensure that confidentiality obligations apply to employees, contractors and third parties with access to PII.</w:t>
      </w:r>
    </w:p>
    <w:p>
      <w:pPr>
        <w:pStyle w:val="ListBullet"/>
      </w:pPr>
      <w:r>
        <w:t>The organisation shall maintain appropriate physical security controls to protect physical records and devices containing PII from unauthorised access, loss, theft or damage.</w:t>
      </w:r>
    </w:p>
    <w:p>
      <w:pPr>
        <w:pStyle w:val="ListBullet"/>
      </w:pPr>
      <w:r>
        <w:t>Printed or physical PII shall be secured when unattended and disposed of using approved secure destruction methods.</w:t>
      </w:r>
    </w:p>
    <w:p>
      <w:pPr>
        <w:pStyle w:val="ListBullet"/>
      </w:pPr>
      <w:r>
        <w:t>The organisation shall ensure that backup copies containing PII are protected using access controls, encryption where appropriate, secure storage and defined retention periods.</w:t>
      </w:r>
    </w:p>
    <w:p>
      <w:pPr>
        <w:pStyle w:val="ListBullet"/>
      </w:pPr>
      <w:r>
        <w:t>The organisation shall ensure that PII protection requirements are included in business continuity, disaster recovery and incident response planning where PII is processed by critical services.</w:t>
      </w:r>
    </w:p>
    <w:p>
      <w:pPr>
        <w:pStyle w:val="ListBullet"/>
      </w:pPr>
      <w:r>
        <w:t>The organisation shall maintain documented privacy governance processes to oversee compliance with this Policy and applicable PII protection obligations.</w:t>
      </w:r>
    </w:p>
    <w:p>
      <w:pPr>
        <w:pStyle w:val="ListBullet"/>
      </w:pPr>
      <w:r>
        <w:t>The organisation shall maintain evidence demonstrating implementation of PII protection controls, including inventories, risk assessments, approvals, training records, access reviews, contracts, incident records and audit results.</w:t>
      </w:r>
    </w:p>
    <w:p>
      <w:pPr>
        <w:pStyle w:val="ListBullet"/>
      </w:pPr>
      <w:r>
        <w:t>The organisation shall ensure that conflicts between this Policy and applicable privacy laws or contractual requirements are escalated to the Data Protection Officer / Privacy Officer and Legal Counsel for resolution.</w:t>
      </w:r>
    </w:p>
    <w:p>
      <w:pPr>
        <w:pStyle w:val="ListBullet"/>
      </w:pPr>
      <w:r>
        <w:t>Where multiple privacy or PII protection requirements apply, the organisation shall apply the requirement that provides the greater level of protection unless legally prohibited.</w:t>
      </w:r>
    </w:p>
    <w:p>
      <w:pPr>
        <w:pStyle w:val="ListBullet"/>
      </w:pPr>
      <w:r>
        <w:t>The organisation shall ensure that automated decision-making or profiling involving PII is assessed, documented and controlled where it may produce legal, significant or material effects on individuals.</w:t>
      </w:r>
    </w:p>
    <w:p>
      <w:pPr>
        <w:pStyle w:val="ListBullet"/>
      </w:pPr>
      <w:r>
        <w:t>The organisation shall maintain appropriate governance and approval for any processing of children’s PII or other legally protected categories of PII.</w:t>
      </w:r>
    </w:p>
    <w:p>
      <w:pPr>
        <w:pStyle w:val="ListBullet"/>
      </w:pPr>
      <w:r>
        <w:t>The organisation shall establish and maintain a lawful, documented process for responding to requests from law enforcement, regulators or public authorities for disclosure of PII.</w:t>
      </w:r>
    </w:p>
    <w:p>
      <w:pPr>
        <w:pStyle w:val="ListBullet"/>
      </w:pPr>
      <w:r>
        <w:t>The organisation shall not disclose PII to public authorities or external parties unless legally required, contractually authorised or approved by Legal Counsel and the Data Protection Officer / Privacy Officer.</w:t>
      </w:r>
    </w:p>
    <w:p>
      <w:pPr>
        <w:pStyle w:val="ListBullet"/>
      </w:pPr>
      <w:r>
        <w:t>The organisation shall ensure that changes to systems, suppliers, processing purposes, data flows or legal requirements that affect PII are reviewed for privacy impact before implementation.</w:t>
      </w:r>
    </w:p>
    <w:p>
      <w:pPr>
        <w:pStyle w:val="ListBullet"/>
      </w:pPr>
      <w:r>
        <w:t>The organisation shall define and maintain privacy control requirements as part of the ISMS risk treatment process.</w:t>
      </w:r>
    </w:p>
    <w:p>
      <w:pPr>
        <w:pStyle w:val="ListBullet"/>
      </w:pPr>
      <w:r>
        <w:t>The organisation shall protect PII in accordance with applicable privacy laws and regulations in jurisdictions where the organisation operates, offers goods or services, monitors individuals, or otherwise falls within legal scope.</w:t>
      </w:r>
    </w:p>
    <w:p>
      <w:r>
        <w:t>The following minimum control expectations shall apply to PII based on sensitivity:</w:t>
      </w:r>
    </w:p>
    <w:tbl>
      <w:tblPr>
        <w:tblStyle w:val="TableGrid"/>
        <w:tblW w:type="auto" w:w="0"/>
        <w:tblLook w:firstColumn="1" w:firstRow="1" w:lastColumn="0" w:lastRow="0" w:noHBand="0" w:noVBand="1" w:val="04A0"/>
      </w:tblPr>
      <w:tblGrid>
        <w:gridCol w:w="2880"/>
        <w:gridCol w:w="2880"/>
        <w:gridCol w:w="2880"/>
      </w:tblGrid>
      <w:tr>
        <w:tc>
          <w:tcPr>
            <w:tcW w:type="dxa" w:w="2880"/>
          </w:tcPr>
          <w:p>
            <w:r>
              <w:t>PII Category</w:t>
            </w:r>
          </w:p>
        </w:tc>
        <w:tc>
          <w:tcPr>
            <w:tcW w:type="dxa" w:w="2880"/>
          </w:tcPr>
          <w:p>
            <w:r>
              <w:t>Examples</w:t>
            </w:r>
          </w:p>
        </w:tc>
        <w:tc>
          <w:tcPr>
            <w:tcW w:type="dxa" w:w="2880"/>
          </w:tcPr>
          <w:p>
            <w:r>
              <w:t>Minimum Required Protection</w:t>
            </w:r>
          </w:p>
        </w:tc>
      </w:tr>
      <w:tr>
        <w:tc>
          <w:tcPr>
            <w:tcW w:type="dxa" w:w="2880"/>
          </w:tcPr>
          <w:p>
            <w:r>
              <w:t>General PII</w:t>
            </w:r>
          </w:p>
        </w:tc>
        <w:tc>
          <w:tcPr>
            <w:tcW w:type="dxa" w:w="2880"/>
          </w:tcPr>
          <w:p>
            <w:r>
              <w:t>Name, business contact details, customer identifier</w:t>
            </w:r>
          </w:p>
        </w:tc>
        <w:tc>
          <w:tcPr>
            <w:tcW w:type="dxa" w:w="2880"/>
          </w:tcPr>
          <w:p>
            <w:r>
              <w:t>Access limited by business need; approved storage location; retention applied; secure transmission where external</w:t>
            </w:r>
          </w:p>
        </w:tc>
      </w:tr>
      <w:tr>
        <w:tc>
          <w:tcPr>
            <w:tcW w:type="dxa" w:w="2880"/>
          </w:tcPr>
          <w:p>
            <w:r>
              <w:t>Confidential PII</w:t>
            </w:r>
          </w:p>
        </w:tc>
        <w:tc>
          <w:tcPr>
            <w:tcW w:type="dxa" w:w="2880"/>
          </w:tcPr>
          <w:p>
            <w:r>
              <w:t>Personal contact details, date of birth, employee records, customer account information</w:t>
            </w:r>
          </w:p>
        </w:tc>
        <w:tc>
          <w:tcPr>
            <w:tcW w:type="dxa" w:w="2880"/>
          </w:tcPr>
          <w:p>
            <w:r>
              <w:t>Role-based access; encryption in transit; logging where feasible; retention schedule; restricted sharing</w:t>
            </w:r>
          </w:p>
        </w:tc>
      </w:tr>
      <w:tr>
        <w:tc>
          <w:tcPr>
            <w:tcW w:type="dxa" w:w="2880"/>
          </w:tcPr>
          <w:p>
            <w:r>
              <w:t>Sensitive PII</w:t>
            </w:r>
          </w:p>
        </w:tc>
        <w:tc>
          <w:tcPr>
            <w:tcW w:type="dxa" w:w="2880"/>
          </w:tcPr>
          <w:p>
            <w:r>
              <w:t>Government identifiers, financial account data, health data, credentials, biometrics, precise location data</w:t>
            </w:r>
          </w:p>
        </w:tc>
        <w:tc>
          <w:tcPr>
            <w:tcW w:type="dxa" w:w="2880"/>
          </w:tcPr>
          <w:p>
            <w:r>
              <w:t>Encryption at rest and in transit; enhanced access control; monitoring; formal approval for sharing; privacy risk assessment</w:t>
            </w:r>
          </w:p>
        </w:tc>
      </w:tr>
      <w:tr>
        <w:tc>
          <w:tcPr>
            <w:tcW w:type="dxa" w:w="2880"/>
          </w:tcPr>
          <w:p>
            <w:r>
              <w:t>High-Risk PII Processing</w:t>
            </w:r>
          </w:p>
        </w:tc>
        <w:tc>
          <w:tcPr>
            <w:tcW w:type="dxa" w:w="2880"/>
          </w:tcPr>
          <w:p>
            <w:r>
              <w:t>Large-scale profiling, children’s data, automated decisions, cross-border transfers, sensitive PII at scale</w:t>
            </w:r>
          </w:p>
        </w:tc>
        <w:tc>
          <w:tcPr>
            <w:tcW w:type="dxa" w:w="2880"/>
          </w:tcPr>
          <w:p>
            <w:r>
              <w:t>Privacy impact assessment; DPO / Privacy Officer review; Legal review where required; senior risk acceptance if residual risk remains</w:t>
            </w:r>
          </w:p>
        </w:tc>
      </w:tr>
    </w:tbl>
    <w:p>
      <w:r>
        <w:t>The following retention and disposal expectations shall apply unless superseded by approved legal, regulatory or contractual requirements:</w:t>
      </w:r>
    </w:p>
    <w:tbl>
      <w:tblPr>
        <w:tblStyle w:val="TableGrid"/>
        <w:tblW w:type="auto" w:w="0"/>
        <w:tblLook w:firstColumn="1" w:firstRow="1" w:lastColumn="0" w:lastRow="0" w:noHBand="0" w:noVBand="1" w:val="04A0"/>
      </w:tblPr>
      <w:tblGrid>
        <w:gridCol w:w="2880"/>
        <w:gridCol w:w="2880"/>
        <w:gridCol w:w="2880"/>
      </w:tblGrid>
      <w:tr>
        <w:tc>
          <w:tcPr>
            <w:tcW w:type="dxa" w:w="2880"/>
          </w:tcPr>
          <w:p>
            <w:r>
              <w:t>PII Record Type</w:t>
            </w:r>
          </w:p>
        </w:tc>
        <w:tc>
          <w:tcPr>
            <w:tcW w:type="dxa" w:w="2880"/>
          </w:tcPr>
          <w:p>
            <w:r>
              <w:t>Retention Requirement</w:t>
            </w:r>
          </w:p>
        </w:tc>
        <w:tc>
          <w:tcPr>
            <w:tcW w:type="dxa" w:w="2880"/>
          </w:tcPr>
          <w:p>
            <w:r>
              <w:t>Disposal Requirement</w:t>
            </w:r>
          </w:p>
        </w:tc>
      </w:tr>
      <w:tr>
        <w:tc>
          <w:tcPr>
            <w:tcW w:type="dxa" w:w="2880"/>
          </w:tcPr>
          <w:p>
            <w:r>
              <w:t>Customer PII</w:t>
            </w:r>
          </w:p>
        </w:tc>
        <w:tc>
          <w:tcPr>
            <w:tcW w:type="dxa" w:w="2880"/>
          </w:tcPr>
          <w:p>
            <w:r>
              <w:t>Retain only for the customer relationship and approved post-relationship retention period</w:t>
            </w:r>
          </w:p>
        </w:tc>
        <w:tc>
          <w:tcPr>
            <w:tcW w:type="dxa" w:w="2880"/>
          </w:tcPr>
          <w:p>
            <w:r>
              <w:t>Secure deletion, anonymisation or return according to approved retention schedule</w:t>
            </w:r>
          </w:p>
        </w:tc>
      </w:tr>
      <w:tr>
        <w:tc>
          <w:tcPr>
            <w:tcW w:type="dxa" w:w="2880"/>
          </w:tcPr>
          <w:p>
            <w:r>
              <w:t>Employee PII</w:t>
            </w:r>
          </w:p>
        </w:tc>
        <w:tc>
          <w:tcPr>
            <w:tcW w:type="dxa" w:w="2880"/>
          </w:tcPr>
          <w:p>
            <w:r>
              <w:t>Retain for employment period plus statutory retention period</w:t>
            </w:r>
          </w:p>
        </w:tc>
        <w:tc>
          <w:tcPr>
            <w:tcW w:type="dxa" w:w="2880"/>
          </w:tcPr>
          <w:p>
            <w:r>
              <w:t>Secure deletion or destruction after retention expiry</w:t>
            </w:r>
          </w:p>
        </w:tc>
      </w:tr>
      <w:tr>
        <w:tc>
          <w:tcPr>
            <w:tcW w:type="dxa" w:w="2880"/>
          </w:tcPr>
          <w:p>
            <w:r>
              <w:t>Candidate / Applicant PII</w:t>
            </w:r>
          </w:p>
        </w:tc>
        <w:tc>
          <w:tcPr>
            <w:tcW w:type="dxa" w:w="2880"/>
          </w:tcPr>
          <w:p>
            <w:r>
              <w:t>Retain only for recruitment purpose and approved talent pool period where consent or lawful basis exists</w:t>
            </w:r>
          </w:p>
        </w:tc>
        <w:tc>
          <w:tcPr>
            <w:tcW w:type="dxa" w:w="2880"/>
          </w:tcPr>
          <w:p>
            <w:r>
              <w:t>Secure deletion after recruitment retention period</w:t>
            </w:r>
          </w:p>
        </w:tc>
      </w:tr>
      <w:tr>
        <w:tc>
          <w:tcPr>
            <w:tcW w:type="dxa" w:w="2880"/>
          </w:tcPr>
          <w:p>
            <w:r>
              <w:t>Marketing PII</w:t>
            </w:r>
          </w:p>
        </w:tc>
        <w:tc>
          <w:tcPr>
            <w:tcW w:type="dxa" w:w="2880"/>
          </w:tcPr>
          <w:p>
            <w:r>
              <w:t>Retain until consent withdrawal, opt-out, inactivity threshold or approved retention expiry</w:t>
            </w:r>
          </w:p>
        </w:tc>
        <w:tc>
          <w:tcPr>
            <w:tcW w:type="dxa" w:w="2880"/>
          </w:tcPr>
          <w:p>
            <w:r>
              <w:t>Suppression or deletion in accordance with legal requirements</w:t>
            </w:r>
          </w:p>
        </w:tc>
      </w:tr>
      <w:tr>
        <w:tc>
          <w:tcPr>
            <w:tcW w:type="dxa" w:w="2880"/>
          </w:tcPr>
          <w:p>
            <w:r>
              <w:t>Authentication / Access Logs Containing PII</w:t>
            </w:r>
          </w:p>
        </w:tc>
        <w:tc>
          <w:tcPr>
            <w:tcW w:type="dxa" w:w="2880"/>
          </w:tcPr>
          <w:p>
            <w:r>
              <w:t>Retain for security monitoring and audit period</w:t>
            </w:r>
          </w:p>
        </w:tc>
        <w:tc>
          <w:tcPr>
            <w:tcW w:type="dxa" w:w="2880"/>
          </w:tcPr>
          <w:p>
            <w:r>
              <w:t>Secure deletion after log retention period</w:t>
            </w:r>
          </w:p>
        </w:tc>
      </w:tr>
      <w:tr>
        <w:tc>
          <w:tcPr>
            <w:tcW w:type="dxa" w:w="2880"/>
          </w:tcPr>
          <w:p>
            <w:r>
              <w:t>Incident Records Containing PII</w:t>
            </w:r>
          </w:p>
        </w:tc>
        <w:tc>
          <w:tcPr>
            <w:tcW w:type="dxa" w:w="2880"/>
          </w:tcPr>
          <w:p>
            <w:r>
              <w:t>Retain for investigation, legal, regulatory and audit purposes</w:t>
            </w:r>
          </w:p>
        </w:tc>
        <w:tc>
          <w:tcPr>
            <w:tcW w:type="dxa" w:w="2880"/>
          </w:tcPr>
          <w:p>
            <w:r>
              <w:t>Secure archival or deletion after approved retention period</w:t>
            </w:r>
          </w:p>
        </w:tc>
      </w:tr>
    </w:tbl>
    <w:p>
      <w:pPr>
        <w:pStyle w:val="Heading2"/>
      </w:pPr>
      <w:r>
        <w:t>Roles &amp; Responsibilities</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Responsibilities</w:t>
            </w:r>
          </w:p>
        </w:tc>
      </w:tr>
      <w:tr>
        <w:tc>
          <w:tcPr>
            <w:tcW w:type="dxa" w:w="4320"/>
          </w:tcPr>
          <w:p>
            <w:r>
              <w:t>Board / Executive Management</w:t>
            </w:r>
          </w:p>
        </w:tc>
        <w:tc>
          <w:tcPr>
            <w:tcW w:type="dxa" w:w="4320"/>
          </w:tcPr>
          <w:p>
            <w:r>
              <w:t>Provide oversight and support for privacy and PII protection; ensure adequate resources are available; approve significant risk treatment decisions where required.</w:t>
            </w:r>
          </w:p>
        </w:tc>
      </w:tr>
      <w:tr>
        <w:tc>
          <w:tcPr>
            <w:tcW w:type="dxa" w:w="4320"/>
          </w:tcPr>
          <w:p>
            <w:r>
              <w:t>Data Protection Officer / Privacy Officer</w:t>
            </w:r>
          </w:p>
        </w:tc>
        <w:tc>
          <w:tcPr>
            <w:tcW w:type="dxa" w:w="4320"/>
          </w:tcPr>
          <w:p>
            <w:r>
              <w:t>Own this Policy; advise on privacy obligations; oversee PII protection governance; review privacy impact assessments; advise on data subject rights, breach notification and cross-border transfers; monitor compliance with privacy requirements.</w:t>
            </w:r>
          </w:p>
        </w:tc>
      </w:tr>
      <w:tr>
        <w:tc>
          <w:tcPr>
            <w:tcW w:type="dxa" w:w="4320"/>
          </w:tcPr>
          <w:p>
            <w:r>
              <w:t>Chief Information Security Officer / Information Security Manager</w:t>
            </w:r>
          </w:p>
        </w:tc>
        <w:tc>
          <w:tcPr>
            <w:tcW w:type="dxa" w:w="4320"/>
          </w:tcPr>
          <w:p>
            <w:r>
              <w:t>Ensure technical and organisational security controls are implemented to protect PII; integrate PII protection into the ISMS; oversee security risk assessments, incident response and control monitoring.</w:t>
            </w:r>
          </w:p>
        </w:tc>
      </w:tr>
      <w:tr>
        <w:tc>
          <w:tcPr>
            <w:tcW w:type="dxa" w:w="4320"/>
          </w:tcPr>
          <w:p>
            <w:r>
              <w:t>Legal Counsel</w:t>
            </w:r>
          </w:p>
        </w:tc>
        <w:tc>
          <w:tcPr>
            <w:tcW w:type="dxa" w:w="4320"/>
          </w:tcPr>
          <w:p>
            <w:r>
              <w:t>Advise on applicable privacy laws, regulatory obligations, contractual terms, lawful bases for processing, data transfer mechanisms and disclosure requests.</w:t>
            </w:r>
          </w:p>
        </w:tc>
      </w:tr>
      <w:tr>
        <w:tc>
          <w:tcPr>
            <w:tcW w:type="dxa" w:w="4320"/>
          </w:tcPr>
          <w:p>
            <w:r>
              <w:t>Data Owners / Business Process Owners</w:t>
            </w:r>
          </w:p>
        </w:tc>
        <w:tc>
          <w:tcPr>
            <w:tcW w:type="dxa" w:w="4320"/>
          </w:tcPr>
          <w:p>
            <w:r>
              <w:t>Identify and document PII processing activities; define business purposes; approve access; ensure retention requirements are followed; ensure processing is consistent with approved purposes.</w:t>
            </w:r>
          </w:p>
        </w:tc>
      </w:tr>
      <w:tr>
        <w:tc>
          <w:tcPr>
            <w:tcW w:type="dxa" w:w="4320"/>
          </w:tcPr>
          <w:p>
            <w:r>
              <w:t>System Owners / Application Owners</w:t>
            </w:r>
          </w:p>
        </w:tc>
        <w:tc>
          <w:tcPr>
            <w:tcW w:type="dxa" w:w="4320"/>
          </w:tcPr>
          <w:p>
            <w:r>
              <w:t>Implement and maintain security controls for systems processing PII; ensure logging, access controls, encryption, retention and secure deletion capabilities are supported.</w:t>
            </w:r>
          </w:p>
        </w:tc>
      </w:tr>
      <w:tr>
        <w:tc>
          <w:tcPr>
            <w:tcW w:type="dxa" w:w="4320"/>
          </w:tcPr>
          <w:p>
            <w:r>
              <w:t>Information Asset Owners</w:t>
            </w:r>
          </w:p>
        </w:tc>
        <w:tc>
          <w:tcPr>
            <w:tcW w:type="dxa" w:w="4320"/>
          </w:tcPr>
          <w:p>
            <w:r>
              <w:t>Classify assets containing PII; ensure appropriate handling, storage, access and disposal controls are applied.</w:t>
            </w:r>
          </w:p>
        </w:tc>
      </w:tr>
      <w:tr>
        <w:tc>
          <w:tcPr>
            <w:tcW w:type="dxa" w:w="4320"/>
          </w:tcPr>
          <w:p>
            <w:r>
              <w:t>Procurement / Vendor Management</w:t>
            </w:r>
          </w:p>
        </w:tc>
        <w:tc>
          <w:tcPr>
            <w:tcW w:type="dxa" w:w="4320"/>
          </w:tcPr>
          <w:p>
            <w:r>
              <w:t>Ensure suppliers processing PII undergo due diligence, contractual review, onboarding approval and ongoing monitoring.</w:t>
            </w:r>
          </w:p>
        </w:tc>
      </w:tr>
      <w:tr>
        <w:tc>
          <w:tcPr>
            <w:tcW w:type="dxa" w:w="4320"/>
          </w:tcPr>
          <w:p>
            <w:r>
              <w:t>Human Resources</w:t>
            </w:r>
          </w:p>
        </w:tc>
        <w:tc>
          <w:tcPr>
            <w:tcW w:type="dxa" w:w="4320"/>
          </w:tcPr>
          <w:p>
            <w:r>
              <w:t>Ensure workforce privacy obligations, confidentiality terms, awareness training, employee records protection and disciplinary processes are maintained.</w:t>
            </w:r>
          </w:p>
        </w:tc>
      </w:tr>
      <w:tr>
        <w:tc>
          <w:tcPr>
            <w:tcW w:type="dxa" w:w="4320"/>
          </w:tcPr>
          <w:p>
            <w:r>
              <w:t>IT Operations</w:t>
            </w:r>
          </w:p>
        </w:tc>
        <w:tc>
          <w:tcPr>
            <w:tcW w:type="dxa" w:w="4320"/>
          </w:tcPr>
          <w:p>
            <w:r>
              <w:t>Implement access controls, encryption, backup protection, monitoring, secure configuration and secure disposal of systems and media containing PII.</w:t>
            </w:r>
          </w:p>
        </w:tc>
      </w:tr>
      <w:tr>
        <w:tc>
          <w:tcPr>
            <w:tcW w:type="dxa" w:w="4320"/>
          </w:tcPr>
          <w:p>
            <w:r>
              <w:t>Security Operations / Incident Response Team</w:t>
            </w:r>
          </w:p>
        </w:tc>
        <w:tc>
          <w:tcPr>
            <w:tcW w:type="dxa" w:w="4320"/>
          </w:tcPr>
          <w:p>
            <w:r>
              <w:t>Detect, triage, investigate and respond to suspected or confirmed PII incidents; support breach assessment and containment; maintain incident evidence.</w:t>
            </w:r>
          </w:p>
        </w:tc>
      </w:tr>
      <w:tr>
        <w:tc>
          <w:tcPr>
            <w:tcW w:type="dxa" w:w="4320"/>
          </w:tcPr>
          <w:p>
            <w:r>
              <w:t>Employees, Contractors and Third Parties</w:t>
            </w:r>
          </w:p>
        </w:tc>
        <w:tc>
          <w:tcPr>
            <w:tcW w:type="dxa" w:w="4320"/>
          </w:tcPr>
          <w:p>
            <w:r>
              <w:t>Protect PII in accordance with this Policy; complete required training; use approved systems and channels; report suspected incidents immediately; process PII only as authorised.</w:t>
            </w:r>
          </w:p>
        </w:tc>
      </w:tr>
      <w:tr>
        <w:tc>
          <w:tcPr>
            <w:tcW w:type="dxa" w:w="4320"/>
          </w:tcPr>
          <w:p>
            <w:r>
              <w:t>Internal Audit / Compliance Function</w:t>
            </w:r>
          </w:p>
        </w:tc>
        <w:tc>
          <w:tcPr>
            <w:tcW w:type="dxa" w:w="4320"/>
          </w:tcPr>
          <w:p>
            <w:r>
              <w:t>Conduct independent reviews of compliance with this Policy, applicable ISO/IEC 27001:2022 control requirements and related privacy obligations.</w:t>
            </w:r>
          </w:p>
        </w:tc>
      </w:tr>
    </w:tbl>
    <w:p>
      <w:pPr>
        <w:pStyle w:val="Heading2"/>
      </w:pPr>
      <w:r>
        <w:t>Compliance, Monitoring &amp; Enforcement</w:t>
      </w:r>
    </w:p>
    <w:p>
      <w:r>
        <w:t>Compliance with this Policy is mandatory.</w:t>
      </w:r>
    </w:p>
    <w:p>
      <w:r>
        <w:t>The organisation shall monitor compliance with this Policy through a risk-based assurance programme that may include:</w:t>
      </w:r>
    </w:p>
    <w:p>
      <w:pPr>
        <w:pStyle w:val="ListBullet"/>
      </w:pPr>
      <w:r>
        <w:t>ISMS internal audits.</w:t>
      </w:r>
    </w:p>
    <w:p>
      <w:pPr>
        <w:pStyle w:val="ListBullet"/>
      </w:pPr>
      <w:r>
        <w:t>Privacy compliance reviews.</w:t>
      </w:r>
    </w:p>
    <w:p>
      <w:pPr>
        <w:pStyle w:val="ListBullet"/>
      </w:pPr>
      <w:r>
        <w:t>Access reviews for systems containing PII.</w:t>
      </w:r>
    </w:p>
    <w:p>
      <w:pPr>
        <w:pStyle w:val="ListBullet"/>
      </w:pPr>
      <w:r>
        <w:t>Supplier assurance and contract compliance reviews.</w:t>
      </w:r>
    </w:p>
    <w:p>
      <w:pPr>
        <w:pStyle w:val="ListBullet"/>
      </w:pPr>
      <w:r>
        <w:t>Technical control testing.</w:t>
      </w:r>
    </w:p>
    <w:p>
      <w:pPr>
        <w:pStyle w:val="ListBullet"/>
      </w:pPr>
      <w:r>
        <w:t>Vulnerability and configuration assessments.</w:t>
      </w:r>
    </w:p>
    <w:p>
      <w:pPr>
        <w:pStyle w:val="ListBullet"/>
      </w:pPr>
      <w:r>
        <w:t>Security monitoring and log review.</w:t>
      </w:r>
    </w:p>
    <w:p>
      <w:pPr>
        <w:pStyle w:val="ListBullet"/>
      </w:pPr>
      <w:r>
        <w:t>Incident and breach trend analysis.</w:t>
      </w:r>
    </w:p>
    <w:p>
      <w:pPr>
        <w:pStyle w:val="ListBullet"/>
      </w:pPr>
      <w:r>
        <w:t>Training completion monitoring.</w:t>
      </w:r>
    </w:p>
    <w:p>
      <w:pPr>
        <w:pStyle w:val="ListBullet"/>
      </w:pPr>
      <w:r>
        <w:t>Review of PII inventories and processing records.</w:t>
      </w:r>
    </w:p>
    <w:p>
      <w:pPr>
        <w:pStyle w:val="ListBullet"/>
      </w:pPr>
      <w:r>
        <w:t>Review of privacy impact assessments and risk treatment plans.</w:t>
      </w:r>
    </w:p>
    <w:p>
      <w:r>
        <w:t>The following minimum monitoring activities shall be performed: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Activity</w:t>
            </w:r>
          </w:p>
        </w:tc>
        <w:tc>
          <w:tcPr>
            <w:tcW w:type="dxa" w:w="2160"/>
          </w:tcPr>
          <w:p>
            <w:r>
              <w:t>Minimum Frequency</w:t>
            </w:r>
          </w:p>
        </w:tc>
        <w:tc>
          <w:tcPr>
            <w:tcW w:type="dxa" w:w="2160"/>
          </w:tcPr>
          <w:p>
            <w:r>
              <w:t>Responsible Role</w:t>
            </w:r>
          </w:p>
        </w:tc>
        <w:tc>
          <w:tcPr>
            <w:tcW w:type="dxa" w:w="2160"/>
          </w:tcPr>
          <w:p>
            <w:r>
              <w:t>Evidence</w:t>
            </w:r>
          </w:p>
        </w:tc>
      </w:tr>
      <w:tr>
        <w:tc>
          <w:tcPr>
            <w:tcW w:type="dxa" w:w="2160"/>
          </w:tcPr>
          <w:p>
            <w:r>
              <w:t>Review PII processing inventory</w:t>
            </w:r>
          </w:p>
        </w:tc>
        <w:tc>
          <w:tcPr>
            <w:tcW w:type="dxa" w:w="2160"/>
          </w:tcPr>
          <w:p>
            <w:r>
              <w:t>At least annually and upon material change</w:t>
            </w:r>
          </w:p>
        </w:tc>
        <w:tc>
          <w:tcPr>
            <w:tcW w:type="dxa" w:w="2160"/>
          </w:tcPr>
          <w:p>
            <w:r>
              <w:t>Data Protection Officer / Privacy Officer; Data Owners</w:t>
            </w:r>
          </w:p>
        </w:tc>
        <w:tc>
          <w:tcPr>
            <w:tcW w:type="dxa" w:w="2160"/>
          </w:tcPr>
          <w:p>
            <w:r>
              <w:t>Updated processing inventory</w:t>
            </w:r>
          </w:p>
        </w:tc>
      </w:tr>
      <w:tr>
        <w:tc>
          <w:tcPr>
            <w:tcW w:type="dxa" w:w="2160"/>
          </w:tcPr>
          <w:p>
            <w:r>
              <w:t>Review access to sensitive PII systems</w:t>
            </w:r>
          </w:p>
        </w:tc>
        <w:tc>
          <w:tcPr>
            <w:tcW w:type="dxa" w:w="2160"/>
          </w:tcPr>
          <w:p>
            <w:r>
              <w:t>At least quarterly</w:t>
            </w:r>
          </w:p>
        </w:tc>
        <w:tc>
          <w:tcPr>
            <w:tcW w:type="dxa" w:w="2160"/>
          </w:tcPr>
          <w:p>
            <w:r>
              <w:t>System Owners; Data Owners</w:t>
            </w:r>
          </w:p>
        </w:tc>
        <w:tc>
          <w:tcPr>
            <w:tcW w:type="dxa" w:w="2160"/>
          </w:tcPr>
          <w:p>
            <w:r>
              <w:t>Access review records and remediation actions</w:t>
            </w:r>
          </w:p>
        </w:tc>
      </w:tr>
      <w:tr>
        <w:tc>
          <w:tcPr>
            <w:tcW w:type="dxa" w:w="2160"/>
          </w:tcPr>
          <w:p>
            <w:r>
              <w:t>Review third parties processing PII</w:t>
            </w:r>
          </w:p>
        </w:tc>
        <w:tc>
          <w:tcPr>
            <w:tcW w:type="dxa" w:w="2160"/>
          </w:tcPr>
          <w:p>
            <w:r>
              <w:t>At onboarding and at least annually for high-risk suppliers</w:t>
            </w:r>
          </w:p>
        </w:tc>
        <w:tc>
          <w:tcPr>
            <w:tcW w:type="dxa" w:w="2160"/>
          </w:tcPr>
          <w:p>
            <w:r>
              <w:t>Procurement / Vendor Management; Privacy Officer</w:t>
            </w:r>
          </w:p>
        </w:tc>
        <w:tc>
          <w:tcPr>
            <w:tcW w:type="dxa" w:w="2160"/>
          </w:tcPr>
          <w:p>
            <w:r>
              <w:t>Due diligence records, risk assessments, contracts</w:t>
            </w:r>
          </w:p>
        </w:tc>
      </w:tr>
      <w:tr>
        <w:tc>
          <w:tcPr>
            <w:tcW w:type="dxa" w:w="2160"/>
          </w:tcPr>
          <w:p>
            <w:r>
              <w:t>Privacy impact assessments for high-risk processing</w:t>
            </w:r>
          </w:p>
        </w:tc>
        <w:tc>
          <w:tcPr>
            <w:tcW w:type="dxa" w:w="2160"/>
          </w:tcPr>
          <w:p>
            <w:r>
              <w:t>Before implementation and upon material change</w:t>
            </w:r>
          </w:p>
        </w:tc>
        <w:tc>
          <w:tcPr>
            <w:tcW w:type="dxa" w:w="2160"/>
          </w:tcPr>
          <w:p>
            <w:r>
              <w:t>Business Process Owner; Privacy Officer</w:t>
            </w:r>
          </w:p>
        </w:tc>
        <w:tc>
          <w:tcPr>
            <w:tcW w:type="dxa" w:w="2160"/>
          </w:tcPr>
          <w:p>
            <w:r>
              <w:t>Approved assessment and risk treatment plan</w:t>
            </w:r>
          </w:p>
        </w:tc>
      </w:tr>
      <w:tr>
        <w:tc>
          <w:tcPr>
            <w:tcW w:type="dxa" w:w="2160"/>
          </w:tcPr>
          <w:p>
            <w:r>
              <w:t>Privacy and security awareness training</w:t>
            </w:r>
          </w:p>
        </w:tc>
        <w:tc>
          <w:tcPr>
            <w:tcW w:type="dxa" w:w="2160"/>
          </w:tcPr>
          <w:p>
            <w:r>
              <w:t>At onboarding and annually</w:t>
            </w:r>
          </w:p>
        </w:tc>
        <w:tc>
          <w:tcPr>
            <w:tcW w:type="dxa" w:w="2160"/>
          </w:tcPr>
          <w:p>
            <w:r>
              <w:t>Human Resources; Information Security</w:t>
            </w:r>
          </w:p>
        </w:tc>
        <w:tc>
          <w:tcPr>
            <w:tcW w:type="dxa" w:w="2160"/>
          </w:tcPr>
          <w:p>
            <w:r>
              <w:t>Training completion records</w:t>
            </w:r>
          </w:p>
        </w:tc>
      </w:tr>
      <w:tr>
        <w:tc>
          <w:tcPr>
            <w:tcW w:type="dxa" w:w="2160"/>
          </w:tcPr>
          <w:p>
            <w:r>
              <w:t>Test PII incident response process</w:t>
            </w:r>
          </w:p>
        </w:tc>
        <w:tc>
          <w:tcPr>
            <w:tcW w:type="dxa" w:w="2160"/>
          </w:tcPr>
          <w:p>
            <w:r>
              <w:t>At least annually</w:t>
            </w:r>
          </w:p>
        </w:tc>
        <w:tc>
          <w:tcPr>
            <w:tcW w:type="dxa" w:w="2160"/>
          </w:tcPr>
          <w:p>
            <w:r>
              <w:t>Incident Response Team; Privacy Officer</w:t>
            </w:r>
          </w:p>
        </w:tc>
        <w:tc>
          <w:tcPr>
            <w:tcW w:type="dxa" w:w="2160"/>
          </w:tcPr>
          <w:p>
            <w:r>
              <w:t>Exercise report and lessons learned</w:t>
            </w:r>
          </w:p>
        </w:tc>
      </w:tr>
      <w:tr>
        <w:tc>
          <w:tcPr>
            <w:tcW w:type="dxa" w:w="2160"/>
          </w:tcPr>
          <w:p>
            <w:r>
              <w:t>Review retention and disposal compliance</w:t>
            </w:r>
          </w:p>
        </w:tc>
        <w:tc>
          <w:tcPr>
            <w:tcW w:type="dxa" w:w="2160"/>
          </w:tcPr>
          <w:p>
            <w:r>
              <w:t>At least annually</w:t>
            </w:r>
          </w:p>
        </w:tc>
        <w:tc>
          <w:tcPr>
            <w:tcW w:type="dxa" w:w="2160"/>
          </w:tcPr>
          <w:p>
            <w:r>
              <w:t>Data Owners; Records Management</w:t>
            </w:r>
          </w:p>
        </w:tc>
        <w:tc>
          <w:tcPr>
            <w:tcW w:type="dxa" w:w="2160"/>
          </w:tcPr>
          <w:p>
            <w:r>
              <w:t>Retention review and disposal evidence</w:t>
            </w:r>
          </w:p>
        </w:tc>
      </w:tr>
      <w:tr>
        <w:tc>
          <w:tcPr>
            <w:tcW w:type="dxa" w:w="2160"/>
          </w:tcPr>
          <w:p>
            <w:r>
              <w:t>Internal audit of PII protection controls</w:t>
            </w:r>
          </w:p>
        </w:tc>
        <w:tc>
          <w:tcPr>
            <w:tcW w:type="dxa" w:w="2160"/>
          </w:tcPr>
          <w:p>
            <w:r>
              <w:t>According to audit plan</w:t>
            </w:r>
          </w:p>
        </w:tc>
        <w:tc>
          <w:tcPr>
            <w:tcW w:type="dxa" w:w="2160"/>
          </w:tcPr>
          <w:p>
            <w:r>
              <w:t>Internal Audit / Compliance</w:t>
            </w:r>
          </w:p>
        </w:tc>
        <w:tc>
          <w:tcPr>
            <w:tcW w:type="dxa" w:w="2160"/>
          </w:tcPr>
          <w:p>
            <w:r>
              <w:t>Audit report and corrective action plan</w:t>
            </w:r>
          </w:p>
        </w:tc>
      </w:tr>
    </w:tbl>
    <w:p>
      <w:r>
        <w:t>Non-compliance with this Policy may result in:</w:t>
      </w:r>
    </w:p>
    <w:p>
      <w:pPr>
        <w:pStyle w:val="ListBullet"/>
      </w:pPr>
      <w:r>
        <w:t>Revocation or restriction of system access.</w:t>
      </w:r>
    </w:p>
    <w:p>
      <w:pPr>
        <w:pStyle w:val="ListBullet"/>
      </w:pPr>
      <w:r>
        <w:t>Mandatory retraining.</w:t>
      </w:r>
    </w:p>
    <w:p>
      <w:pPr>
        <w:pStyle w:val="ListBullet"/>
      </w:pPr>
      <w:r>
        <w:t>Corrective or disciplinary action up to and including termination of employment or contract.</w:t>
      </w:r>
    </w:p>
    <w:p>
      <w:pPr>
        <w:pStyle w:val="ListBullet"/>
      </w:pPr>
      <w:r>
        <w:t>Supplier remediation, suspension or termination.</w:t>
      </w:r>
    </w:p>
    <w:p>
      <w:pPr>
        <w:pStyle w:val="ListBullet"/>
      </w:pPr>
      <w:r>
        <w:t>Notification to regulators, customers or affected individuals where required.</w:t>
      </w:r>
    </w:p>
    <w:p>
      <w:pPr>
        <w:pStyle w:val="ListBullet"/>
      </w:pPr>
      <w:r>
        <w:t>Legal action where misconduct, negligence or unlawful processing has occurred.</w:t>
      </w:r>
    </w:p>
    <w:p>
      <w:r>
        <w:t>Violations or suspected violations of this Policy shall be reported to the Data Protection Officer / Privacy Officer, Information Security Manager, Legal Counsel or through the organisation’s approved reporting channels.</w:t>
      </w:r>
    </w:p>
    <w:p>
      <w:r>
        <w:t>The organisation shall maintain records of compliance activities, identified nonconformities, corrective actions and management decisions in accordance with ISMS document control and record retention requirements.</w:t>
      </w:r>
    </w:p>
    <w:p>
      <w:pPr>
        <w:pStyle w:val="Heading2"/>
      </w:pPr>
      <w:r>
        <w:t>Exceptions</w:t>
      </w:r>
    </w:p>
    <w:p>
      <w:r>
        <w:t>Exceptions to this Policy shall be permitted only where there is a documented business justification and the associated privacy and information security risks have been assessed, approved and formally accepted.</w:t>
      </w:r>
    </w:p>
    <w:p>
      <w:r>
        <w:t>Exception requests shall include, at minimum:</w:t>
      </w:r>
    </w:p>
    <w:tbl>
      <w:tblPr>
        <w:tblStyle w:val="TableGrid"/>
        <w:tblW w:type="auto" w:w="0"/>
        <w:tblLook w:firstColumn="1" w:firstRow="1" w:lastColumn="0" w:lastRow="0" w:noHBand="0" w:noVBand="1" w:val="04A0"/>
      </w:tblPr>
      <w:tblGrid>
        <w:gridCol w:w="4320"/>
        <w:gridCol w:w="4320"/>
      </w:tblGrid>
      <w:tr>
        <w:tc>
          <w:tcPr>
            <w:tcW w:type="dxa" w:w="4320"/>
          </w:tcPr>
          <w:p>
            <w:r>
              <w:t>Required Information</w:t>
            </w:r>
          </w:p>
        </w:tc>
        <w:tc>
          <w:tcPr>
            <w:tcW w:type="dxa" w:w="4320"/>
          </w:tcPr>
          <w:p>
            <w:r>
              <w:t>Description</w:t>
            </w:r>
          </w:p>
        </w:tc>
      </w:tr>
      <w:tr>
        <w:tc>
          <w:tcPr>
            <w:tcW w:type="dxa" w:w="4320"/>
          </w:tcPr>
          <w:p>
            <w:r>
              <w:t>Requestor</w:t>
            </w:r>
          </w:p>
        </w:tc>
        <w:tc>
          <w:tcPr>
            <w:tcW w:type="dxa" w:w="4320"/>
          </w:tcPr>
          <w:p>
            <w:r>
              <w:t>Individual or business owner requesting the exception</w:t>
            </w:r>
          </w:p>
        </w:tc>
      </w:tr>
      <w:tr>
        <w:tc>
          <w:tcPr>
            <w:tcW w:type="dxa" w:w="4320"/>
          </w:tcPr>
          <w:p>
            <w:r>
              <w:t>Affected process, system or supplier</w:t>
            </w:r>
          </w:p>
        </w:tc>
        <w:tc>
          <w:tcPr>
            <w:tcW w:type="dxa" w:w="4320"/>
          </w:tcPr>
          <w:p>
            <w:r>
              <w:t>The scope of the requested exception</w:t>
            </w:r>
          </w:p>
        </w:tc>
      </w:tr>
      <w:tr>
        <w:tc>
          <w:tcPr>
            <w:tcW w:type="dxa" w:w="4320"/>
          </w:tcPr>
          <w:p>
            <w:r>
              <w:t>Policy requirement impacted</w:t>
            </w:r>
          </w:p>
        </w:tc>
        <w:tc>
          <w:tcPr>
            <w:tcW w:type="dxa" w:w="4320"/>
          </w:tcPr>
          <w:p>
            <w:r>
              <w:t>Specific statement or control requirement for which exception is requested</w:t>
            </w:r>
          </w:p>
        </w:tc>
      </w:tr>
      <w:tr>
        <w:tc>
          <w:tcPr>
            <w:tcW w:type="dxa" w:w="4320"/>
          </w:tcPr>
          <w:p>
            <w:r>
              <w:t>PII involved</w:t>
            </w:r>
          </w:p>
        </w:tc>
        <w:tc>
          <w:tcPr>
            <w:tcW w:type="dxa" w:w="4320"/>
          </w:tcPr>
          <w:p>
            <w:r>
              <w:t>Categories, sensitivity and approximate volume of PII affected</w:t>
            </w:r>
          </w:p>
        </w:tc>
      </w:tr>
      <w:tr>
        <w:tc>
          <w:tcPr>
            <w:tcW w:type="dxa" w:w="4320"/>
          </w:tcPr>
          <w:p>
            <w:r>
              <w:t>Business justification</w:t>
            </w:r>
          </w:p>
        </w:tc>
        <w:tc>
          <w:tcPr>
            <w:tcW w:type="dxa" w:w="4320"/>
          </w:tcPr>
          <w:p>
            <w:r>
              <w:t>Reason compliance cannot be achieved within required timeframe</w:t>
            </w:r>
          </w:p>
        </w:tc>
      </w:tr>
      <w:tr>
        <w:tc>
          <w:tcPr>
            <w:tcW w:type="dxa" w:w="4320"/>
          </w:tcPr>
          <w:p>
            <w:r>
              <w:t>Risk assessment</w:t>
            </w:r>
          </w:p>
        </w:tc>
        <w:tc>
          <w:tcPr>
            <w:tcW w:type="dxa" w:w="4320"/>
          </w:tcPr>
          <w:p>
            <w:r>
              <w:t>Privacy, legal, regulatory, contractual and security risks</w:t>
            </w:r>
          </w:p>
        </w:tc>
      </w:tr>
      <w:tr>
        <w:tc>
          <w:tcPr>
            <w:tcW w:type="dxa" w:w="4320"/>
          </w:tcPr>
          <w:p>
            <w:r>
              <w:t>Compensating controls</w:t>
            </w:r>
          </w:p>
        </w:tc>
        <w:tc>
          <w:tcPr>
            <w:tcW w:type="dxa" w:w="4320"/>
          </w:tcPr>
          <w:p>
            <w:r>
              <w:t>Measures to reduce risk during the exception period</w:t>
            </w:r>
          </w:p>
        </w:tc>
      </w:tr>
      <w:tr>
        <w:tc>
          <w:tcPr>
            <w:tcW w:type="dxa" w:w="4320"/>
          </w:tcPr>
          <w:p>
            <w:r>
              <w:t>Duration</w:t>
            </w:r>
          </w:p>
        </w:tc>
        <w:tc>
          <w:tcPr>
            <w:tcW w:type="dxa" w:w="4320"/>
          </w:tcPr>
          <w:p>
            <w:r>
              <w:t>Requested start and end date; open-ended exceptions are not permitted</w:t>
            </w:r>
          </w:p>
        </w:tc>
      </w:tr>
      <w:tr>
        <w:tc>
          <w:tcPr>
            <w:tcW w:type="dxa" w:w="4320"/>
          </w:tcPr>
          <w:p>
            <w:r>
              <w:t>Approvals</w:t>
            </w:r>
          </w:p>
        </w:tc>
        <w:tc>
          <w:tcPr>
            <w:tcW w:type="dxa" w:w="4320"/>
          </w:tcPr>
          <w:p>
            <w:r>
              <w:t>Required approval from Data Owner, Privacy Officer, Information Security and Legal Counsel where applicable</w:t>
            </w:r>
          </w:p>
        </w:tc>
      </w:tr>
      <w:tr>
        <w:tc>
          <w:tcPr>
            <w:tcW w:type="dxa" w:w="4320"/>
          </w:tcPr>
          <w:p>
            <w:r>
              <w:t>Review date</w:t>
            </w:r>
          </w:p>
        </w:tc>
        <w:tc>
          <w:tcPr>
            <w:tcW w:type="dxa" w:w="4320"/>
          </w:tcPr>
          <w:p>
            <w:r>
              <w:t>Date by which the exception shall be reassessed or closed</w:t>
            </w:r>
          </w:p>
        </w:tc>
      </w:tr>
    </w:tbl>
    <w:p>
      <w:r>
        <w:t>Exceptions involving sensitive PII, high-risk processing, regulatory obligations, cross-border transfers, breach notification requirements or significant residual risk shall require approval by the Data Protection Officer / Privacy Officer, Information Security Manager and Legal Counsel. Senior management approval shall be required where residual risk exceeds the organisation’s risk appetite.</w:t>
      </w:r>
    </w:p>
    <w:p>
      <w:r>
        <w:t>Approved exceptions shall:</w:t>
      </w:r>
    </w:p>
    <w:p>
      <w:pPr>
        <w:pStyle w:val="ListBullet"/>
      </w:pPr>
      <w:r>
        <w:t>Be time-bound.</w:t>
      </w:r>
    </w:p>
    <w:p>
      <w:pPr>
        <w:pStyle w:val="ListBullet"/>
      </w:pPr>
      <w:r>
        <w:t>Be recorded in the organisation’s exception register.</w:t>
      </w:r>
    </w:p>
    <w:p>
      <w:pPr>
        <w:pStyle w:val="ListBullet"/>
      </w:pPr>
      <w:r>
        <w:t>Include compensating controls where feasible.</w:t>
      </w:r>
    </w:p>
    <w:p>
      <w:pPr>
        <w:pStyle w:val="ListBullet"/>
      </w:pPr>
      <w:r>
        <w:t>Be reviewed before expiry.</w:t>
      </w:r>
    </w:p>
    <w:p>
      <w:pPr>
        <w:pStyle w:val="ListBullet"/>
      </w:pPr>
      <w:r>
        <w:t>Be closed when compliance is achieved or when the underlying business need no longer exists.</w:t>
      </w:r>
    </w:p>
    <w:p>
      <w:r>
        <w:t>Expired exceptions shall be treated as non-compliance unless renewed through the formal exception process.</w:t>
      </w:r>
    </w:p>
    <w:p>
      <w:pPr>
        <w:pStyle w:val="Heading2"/>
      </w:pPr>
      <w:r>
        <w:t>Review &amp; Maintenance</w:t>
      </w:r>
    </w:p>
    <w:p>
      <w:r>
        <w:t>This Policy shall be reviewed at least annually and whenever significant changes occur that may affect PII protection obligations, including:</w:t>
      </w:r>
    </w:p>
    <w:p>
      <w:pPr>
        <w:pStyle w:val="ListBullet"/>
      </w:pPr>
      <w:r>
        <w:t>Changes to applicable privacy laws, regulations or regulatory guidance.</w:t>
      </w:r>
    </w:p>
    <w:p>
      <w:pPr>
        <w:pStyle w:val="ListBullet"/>
      </w:pPr>
      <w:r>
        <w:t>Changes to ISO/IEC 27001:2022 requirements or ISMS scope.</w:t>
      </w:r>
    </w:p>
    <w:p>
      <w:pPr>
        <w:pStyle w:val="ListBullet"/>
      </w:pPr>
      <w:r>
        <w:t>New or materially changed PII processing activities.</w:t>
      </w:r>
    </w:p>
    <w:p>
      <w:pPr>
        <w:pStyle w:val="ListBullet"/>
      </w:pPr>
      <w:r>
        <w:t>Significant changes to systems, suppliers, jurisdictions or data flows.</w:t>
      </w:r>
    </w:p>
    <w:p>
      <w:pPr>
        <w:pStyle w:val="ListBullet"/>
      </w:pPr>
      <w:r>
        <w:t>Privacy incidents, breaches, audit findings or control failures.</w:t>
      </w:r>
    </w:p>
    <w:p>
      <w:pPr>
        <w:pStyle w:val="ListBullet"/>
      </w:pPr>
      <w:r>
        <w:t>Changes to organisational structure, roles or responsibilities.</w:t>
      </w:r>
    </w:p>
    <w:p>
      <w:pPr>
        <w:pStyle w:val="ListBullet"/>
      </w:pPr>
      <w:r>
        <w:t>Changes to risk appetite or approved risk treatment plans.</w:t>
      </w:r>
    </w:p>
    <w:p>
      <w:r>
        <w:t>The Data Protection Officer / Privacy Officer shall own and coordinate review of this Policy with input from Information Security, Legal Counsel, Compliance, Data Owners, IT and other relevant stakeholders.</w:t>
      </w:r>
    </w:p>
    <w:p>
      <w:r>
        <w:t>Policy changes shall be approved in accordance with the organisation’s document governance process. The current approved version shall be made available to all relevant personnel and communicated to stakeholders with responsibilities for PII protection.</w:t>
      </w:r>
    </w:p>
    <w:p>
      <w:r>
        <w:t>Superseded versions shall be retained in accordance with the organisation’s document retention and ISMS record control requirements.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