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Controller / Processor Role Determination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[PDPL-POL-ROLE-DETERMINATION]</w:t>
            </w:r>
          </w:p>
        </w:tc>
        <w:tc>
          <w:tcPr>
            <w:tcW w:type="dxa" w:w="1440"/>
          </w:tcPr>
          <w:p>
            <w:r>
              <w:t>1.0</w:t>
            </w:r>
          </w:p>
        </w:tc>
        <w:tc>
          <w:tcPr>
            <w:tcW w:type="dxa" w:w="1440"/>
          </w:tcPr>
          <w:p>
            <w:r>
              <w:t>Data Protection Officer</w:t>
            </w:r>
          </w:p>
        </w:tc>
        <w:tc>
          <w:tcPr>
            <w:tcW w:type="dxa" w:w="1440"/>
          </w:tcPr>
          <w:p>
            <w:r>
              <w:t>[Effective Date]</w:t>
            </w:r>
          </w:p>
        </w:tc>
        <w:tc>
          <w:tcPr>
            <w:tcW w:type="dxa" w:w="1440"/>
          </w:tcPr>
          <w:p>
            <w:r>
              <w:t>Saudi Personal Data Protection Law</w:t>
            </w:r>
          </w:p>
        </w:tc>
        <w:tc>
          <w:tcPr>
            <w:tcW w:type="dxa" w:w="1440"/>
          </w:tcPr>
          <w:p>
            <w:r>
              <w:t>Internal</w:t>
            </w:r>
          </w:p>
        </w:tc>
      </w:tr>
    </w:tbl>
    <w:p>
      <w:pPr>
        <w:pStyle w:val="Heading2"/>
      </w:pPr>
      <w:r>
        <w:t>Purpose</w:t>
      </w:r>
    </w:p>
    <w:p>
      <w:r>
        <w:t>This Policy establishes mandatory requirements for determining whether the organisation acts as a Controller, Processor, Joint Controller, or Sub-Processor for each personal data processing activity.</w:t>
      </w:r>
    </w:p>
    <w:p>
      <w:r>
        <w:t>The purpose is to ensure that the organisation correctly identifies its role before processing personal data, assigns the appropriate legal and operational responsibilities, maintains evidence of the decision, and applies Saudi Personal Data Protection Law requirements consistently across all business activities, systems, suppliers, and data-sharing arrangements.</w:t>
      </w:r>
    </w:p>
    <w:p>
      <w:pPr>
        <w:pStyle w:val="Heading2"/>
      </w:pPr>
      <w:r>
        <w:t>Scope</w:t>
      </w:r>
    </w:p>
    <w:p>
      <w:r>
        <w:t>This Policy applies to:</w:t>
      </w:r>
    </w:p>
    <w:p>
      <w:pPr>
        <w:pStyle w:val="ListBullet"/>
      </w:pPr>
      <w:r>
        <w:t>All departments, business units, employees, contractors, consultants, and temporary workers who design, approve, operate, procure, or manage activities involving personal data.</w:t>
      </w:r>
    </w:p>
    <w:p>
      <w:pPr>
        <w:pStyle w:val="ListBullet"/>
      </w:pPr>
      <w:r>
        <w:t>All personal data processing activities conducted by or on behalf of the organisation, including collection, recording, storage, use, analysis, disclosure, transfer, retention, deletion, and destruction.</w:t>
      </w:r>
    </w:p>
    <w:p>
      <w:pPr>
        <w:pStyle w:val="ListBullet"/>
      </w:pPr>
      <w:r>
        <w:t>All processing activities involving personal data of individuals located in the Kingdom of Saudi Arabia, or otherwise subject to Saudi Personal Data Protection Law requirements.</w:t>
      </w:r>
    </w:p>
    <w:p>
      <w:pPr>
        <w:pStyle w:val="ListBullet"/>
      </w:pPr>
      <w:r>
        <w:t>All internal systems, external services, cloud platforms, outsourced operations, data-sharing arrangements, integrations, analytics, artificial intelligence use cases, marketing activities, customer support operations, employee data processing, vendor services, and cross-border processing.</w:t>
      </w:r>
    </w:p>
    <w:p>
      <w:pPr>
        <w:pStyle w:val="ListBullet"/>
      </w:pPr>
      <w:r>
        <w:t>All new, changed, and existing processing activities recorded in the organisation’s data inventory, records of processing activities, privacy impact assessments, procurement files, contracts, and data protection assessments.</w:t>
      </w:r>
    </w:p>
    <w:p>
      <w:r>
        <w:t>This Policy applies per processing activity. A single business relationship may involve different roles for different activities. Role determination shall not be made only at vendor, contract, system, or department level where multiple processing purposes exist.</w:t>
      </w:r>
    </w:p>
    <w:p>
      <w:pPr>
        <w:pStyle w:val="Heading2"/>
      </w:pPr>
      <w:r>
        <w:t>Policy Statements</w:t>
      </w:r>
    </w:p>
    <w:p>
      <w:pPr>
        <w:pStyle w:val="ListBullet"/>
      </w:pPr>
      <w:r>
        <w:t>The organisation shall determine and document its data protection role for every personal data processing activity before the activity starts.</w:t>
      </w:r>
    </w:p>
    <w:p>
      <w:pPr>
        <w:pStyle w:val="ListBullet"/>
      </w:pPr>
      <w:r>
        <w:t>The organisation shall classify each processing activity as one or more of the following, based on the actual decision-making authority and operational facts:</w:t>
      </w:r>
    </w:p>
    <w:p>
      <w:pPr>
        <w:pStyle w:val="ListBullet"/>
      </w:pPr>
      <w:r>
        <w:t>Controller - where the organisation determines the purposes and essential means of processing personal data.</w:t>
      </w:r>
    </w:p>
    <w:p>
      <w:pPr>
        <w:pStyle w:val="ListBullet"/>
      </w:pPr>
      <w:r>
        <w:t>Processor - where the organisation processes personal data on behalf of another controller and only under that controller’s documented instructions.</w:t>
      </w:r>
    </w:p>
    <w:p>
      <w:pPr>
        <w:pStyle w:val="ListBullet"/>
      </w:pPr>
      <w:r>
        <w:t>Joint Controller - where the organisation and one or more other parties jointly determine the purposes or essential means of processing.</w:t>
      </w:r>
    </w:p>
    <w:p>
      <w:pPr>
        <w:pStyle w:val="ListBullet"/>
      </w:pPr>
      <w:r>
        <w:t>Sub-Processor - where the organisation is engaged by a processor to process personal data on behalf of a controller.</w:t>
      </w:r>
    </w:p>
    <w:p>
      <w:pPr>
        <w:pStyle w:val="ListBullet"/>
      </w:pPr>
      <w:r>
        <w:t>The organisation shall determine the role separately for each processing purpose. Where the same dataset is used for multiple purposes, the organisation shall assess and record the role for each purpose independently.</w:t>
      </w:r>
    </w:p>
    <w:p>
      <w:pPr>
        <w:pStyle w:val="ListBullet"/>
      </w:pPr>
      <w:r>
        <w:t>The organisation shall not rely solely on contract labels such as “vendor,” “partner,” “service provider,” “customer,” or “processor” to determine the role. The documented role shall reflect the substance of the processing activity.</w:t>
      </w:r>
    </w:p>
    <w:p>
      <w:pPr>
        <w:pStyle w:val="ListBullet"/>
      </w:pPr>
      <w:r>
        <w:t>The organisation shall assess the following factors when determining whether it acts as a Controller:</w:t>
      </w:r>
    </w:p>
    <w:p>
      <w:pPr>
        <w:pStyle w:val="ListBullet"/>
      </w:pPr>
      <w:r>
        <w:t>Whether the organisation decides why the personal data is processed.</w:t>
      </w:r>
    </w:p>
    <w:p>
      <w:pPr>
        <w:pStyle w:val="ListBullet"/>
      </w:pPr>
      <w:r>
        <w:t>Whether the organisation decides which categories of personal data are collected or generated.</w:t>
      </w:r>
    </w:p>
    <w:p>
      <w:pPr>
        <w:pStyle w:val="ListBullet"/>
      </w:pPr>
      <w:r>
        <w:t>Whether the organisation decides which individuals are included.</w:t>
      </w:r>
    </w:p>
    <w:p>
      <w:pPr>
        <w:pStyle w:val="ListBullet"/>
      </w:pPr>
      <w:r>
        <w:t>Whether the organisation decides how long the personal data is retained.</w:t>
      </w:r>
    </w:p>
    <w:p>
      <w:pPr>
        <w:pStyle w:val="ListBullet"/>
      </w:pPr>
      <w:r>
        <w:t>Whether the organisation decides who may receive or access the personal data.</w:t>
      </w:r>
    </w:p>
    <w:p>
      <w:pPr>
        <w:pStyle w:val="ListBullet"/>
      </w:pPr>
      <w:r>
        <w:t>Whether the organisation decides whether the personal data will be disclosed, shared, transferred, enriched, profiled, anonymised, or deleted.</w:t>
      </w:r>
    </w:p>
    <w:p>
      <w:pPr>
        <w:pStyle w:val="ListBullet"/>
      </w:pPr>
      <w:r>
        <w:t>Whether the processing is performed for the organisation’s own legal, business, operational, employment, security, compliance, or commercial purposes.</w:t>
      </w:r>
    </w:p>
    <w:p>
      <w:pPr>
        <w:pStyle w:val="ListBullet"/>
      </w:pPr>
      <w:r>
        <w:t>Whether the organisation bears responsibility for responding to data subject rights, transparency notices, lawful basis, consent management, and regulatory engagement.</w:t>
      </w:r>
    </w:p>
    <w:p>
      <w:pPr>
        <w:pStyle w:val="ListBullet"/>
      </w:pPr>
      <w:r>
        <w:t>The organisation shall assess the following factors when determining whether it acts as a Processor:</w:t>
      </w:r>
    </w:p>
    <w:p>
      <w:pPr>
        <w:pStyle w:val="ListBullet"/>
      </w:pPr>
      <w:r>
        <w:t>Whether another party determines the purpose of the processing.</w:t>
      </w:r>
    </w:p>
    <w:p>
      <w:pPr>
        <w:pStyle w:val="ListBullet"/>
      </w:pPr>
      <w:r>
        <w:t>Whether the organisation processes personal data only under the documented instructions of that party.</w:t>
      </w:r>
    </w:p>
    <w:p>
      <w:pPr>
        <w:pStyle w:val="ListBullet"/>
      </w:pPr>
      <w:r>
        <w:t>Whether the organisation does not decide the essential reasons for processing the personal data.</w:t>
      </w:r>
    </w:p>
    <w:p>
      <w:pPr>
        <w:pStyle w:val="ListBullet"/>
      </w:pPr>
      <w:r>
        <w:t>Whether the organisation may make only technical or operational decisions necessary to deliver the service.</w:t>
      </w:r>
    </w:p>
    <w:p>
      <w:pPr>
        <w:pStyle w:val="ListBullet"/>
      </w:pPr>
      <w:r>
        <w:t>Whether the organisation is required to return, delete, restrict, or handle personal data in accordance with the controller’s instructions.</w:t>
      </w:r>
    </w:p>
    <w:p>
      <w:pPr>
        <w:pStyle w:val="ListBullet"/>
      </w:pPr>
      <w:r>
        <w:t>Whether the organisation is prohibited from using the personal data for its own independent purposes unless separately authorised and lawfully justified.</w:t>
      </w:r>
    </w:p>
    <w:p>
      <w:pPr>
        <w:pStyle w:val="ListBullet"/>
      </w:pPr>
      <w:r>
        <w:t>The organisation shall classify a relationship as Joint Controller where two or more parties jointly determine the purposes or essential means of a processing activity, including where they jointly design a service, jointly decide categories of personal data, jointly determine target individuals, jointly benefit from the same processing purpose, or jointly decide disclosure and retention arrangements.</w:t>
      </w:r>
    </w:p>
    <w:p>
      <w:pPr>
        <w:pStyle w:val="ListBullet"/>
      </w:pPr>
      <w:r>
        <w:t>The organisation shall not classify another party as a Processor where that party independently determines the purpose of processing, uses the data for its own business purposes, combines the data with other data for independent purposes, decides whether to disclose the data to third parties for its own purposes, or retains the data beyond the organisation’s instructions for independent use.</w:t>
      </w:r>
    </w:p>
    <w:p>
      <w:pPr>
        <w:pStyle w:val="ListBullet"/>
      </w:pPr>
      <w:r>
        <w:t>The organisation shall identify and document any role changes across the personal data lifecycle. A party may act as Processor for one activity and Controller for another activity involving the same personal data.</w:t>
      </w:r>
    </w:p>
    <w:p>
      <w:pPr>
        <w:pStyle w:val="ListBullet"/>
      </w:pPr>
      <w:r>
        <w:t>The organisation shall complete a Role Determination Assessment for each processing activity before:</w:t>
      </w:r>
    </w:p>
    <w:p>
      <w:pPr>
        <w:pStyle w:val="ListBullet"/>
      </w:pPr>
      <w:r>
        <w:t>Launching a new product, service, process, campaign, system, or integration involving personal data.</w:t>
      </w:r>
    </w:p>
    <w:p>
      <w:pPr>
        <w:pStyle w:val="ListBullet"/>
      </w:pPr>
      <w:r>
        <w:t>Entering into a new supplier, partner, customer, outsourcing, data-sharing, or service agreement involving personal data.</w:t>
      </w:r>
    </w:p>
    <w:p>
      <w:pPr>
        <w:pStyle w:val="ListBullet"/>
      </w:pPr>
      <w:r>
        <w:t>Making a material change to processing purpose, data categories, individuals, access rights, retention period, technology, hosting location, disclosure route, or cross-border transfer.</w:t>
      </w:r>
    </w:p>
    <w:p>
      <w:pPr>
        <w:pStyle w:val="ListBullet"/>
      </w:pPr>
      <w:r>
        <w:t>Reusing existing personal data for a new purpose.</w:t>
      </w:r>
    </w:p>
    <w:p>
      <w:pPr>
        <w:pStyle w:val="ListBullet"/>
      </w:pPr>
      <w:r>
        <w:t>Engaging a sub-processor or allowing onward processing by another party.</w:t>
      </w:r>
    </w:p>
    <w:p>
      <w:pPr>
        <w:pStyle w:val="ListBullet"/>
      </w:pPr>
      <w:r>
        <w:t>Responding to a material data protection incident where role accountability is unclear.</w:t>
      </w:r>
    </w:p>
    <w:p>
      <w:pPr>
        <w:pStyle w:val="ListBullet"/>
      </w:pPr>
      <w:r>
        <w:t>The Role Determination Assessment shall include, at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Mandatory Content</w:t>
            </w:r>
          </w:p>
        </w:tc>
      </w:tr>
      <w:tr>
        <w:tc>
          <w:tcPr>
            <w:tcW w:type="dxa" w:w="4320"/>
          </w:tcPr>
          <w:p>
            <w:r>
              <w:t>Processing activity name</w:t>
            </w:r>
          </w:p>
        </w:tc>
        <w:tc>
          <w:tcPr>
            <w:tcW w:type="dxa" w:w="4320"/>
          </w:tcPr>
          <w:p>
            <w:r>
              <w:t>Clear description of the activity, service, process, or use case</w:t>
            </w:r>
          </w:p>
        </w:tc>
      </w:tr>
      <w:tr>
        <w:tc>
          <w:tcPr>
            <w:tcW w:type="dxa" w:w="4320"/>
          </w:tcPr>
          <w:p>
            <w:r>
              <w:t>Business owner</w:t>
            </w:r>
          </w:p>
        </w:tc>
        <w:tc>
          <w:tcPr>
            <w:tcW w:type="dxa" w:w="4320"/>
          </w:tcPr>
          <w:p>
            <w:r>
              <w:t>Department and accountable individual responsible for the activity</w:t>
            </w:r>
          </w:p>
        </w:tc>
      </w:tr>
      <w:tr>
        <w:tc>
          <w:tcPr>
            <w:tcW w:type="dxa" w:w="4320"/>
          </w:tcPr>
          <w:p>
            <w:r>
              <w:t>Parties involved</w:t>
            </w:r>
          </w:p>
        </w:tc>
        <w:tc>
          <w:tcPr>
            <w:tcW w:type="dxa" w:w="4320"/>
          </w:tcPr>
          <w:p>
            <w:r>
              <w:t>Legal entities participating in the processing</w:t>
            </w:r>
          </w:p>
        </w:tc>
      </w:tr>
      <w:tr>
        <w:tc>
          <w:tcPr>
            <w:tcW w:type="dxa" w:w="4320"/>
          </w:tcPr>
          <w:p>
            <w:r>
              <w:t>Individuals affected</w:t>
            </w:r>
          </w:p>
        </w:tc>
        <w:tc>
          <w:tcPr>
            <w:tcW w:type="dxa" w:w="4320"/>
          </w:tcPr>
          <w:p>
            <w:r>
              <w:t>Customer, employee, contractor, visitor, applicant, beneficiary, user, or other individual group</w:t>
            </w:r>
          </w:p>
        </w:tc>
      </w:tr>
      <w:tr>
        <w:tc>
          <w:tcPr>
            <w:tcW w:type="dxa" w:w="4320"/>
          </w:tcPr>
          <w:p>
            <w:r>
              <w:t>Personal data categories</w:t>
            </w:r>
          </w:p>
        </w:tc>
        <w:tc>
          <w:tcPr>
            <w:tcW w:type="dxa" w:w="4320"/>
          </w:tcPr>
          <w:p>
            <w:r>
              <w:t>Types of personal data processed, including any sensitive or high-risk categories</w:t>
            </w:r>
          </w:p>
        </w:tc>
      </w:tr>
      <w:tr>
        <w:tc>
          <w:tcPr>
            <w:tcW w:type="dxa" w:w="4320"/>
          </w:tcPr>
          <w:p>
            <w:r>
              <w:t>Processing purposes</w:t>
            </w:r>
          </w:p>
        </w:tc>
        <w:tc>
          <w:tcPr>
            <w:tcW w:type="dxa" w:w="4320"/>
          </w:tcPr>
          <w:p>
            <w:r>
              <w:t>Specific business, legal, operational, service, security, or compliance purposes</w:t>
            </w:r>
          </w:p>
        </w:tc>
      </w:tr>
      <w:tr>
        <w:tc>
          <w:tcPr>
            <w:tcW w:type="dxa" w:w="4320"/>
          </w:tcPr>
          <w:p>
            <w:r>
              <w:t>Key processing operations</w:t>
            </w:r>
          </w:p>
        </w:tc>
        <w:tc>
          <w:tcPr>
            <w:tcW w:type="dxa" w:w="4320"/>
          </w:tcPr>
          <w:p>
            <w:r>
              <w:t>Collection, storage, access, use, disclosure, transfer, analysis, retention, deletion, or other operations</w:t>
            </w:r>
          </w:p>
        </w:tc>
      </w:tr>
      <w:tr>
        <w:tc>
          <w:tcPr>
            <w:tcW w:type="dxa" w:w="4320"/>
          </w:tcPr>
          <w:p>
            <w:r>
              <w:t>Decision-maker for purpose</w:t>
            </w:r>
          </w:p>
        </w:tc>
        <w:tc>
          <w:tcPr>
            <w:tcW w:type="dxa" w:w="4320"/>
          </w:tcPr>
          <w:p>
            <w:r>
              <w:t>Party deciding why the personal data is processed</w:t>
            </w:r>
          </w:p>
        </w:tc>
      </w:tr>
      <w:tr>
        <w:tc>
          <w:tcPr>
            <w:tcW w:type="dxa" w:w="4320"/>
          </w:tcPr>
          <w:p>
            <w:r>
              <w:t>Decision-maker for essential means</w:t>
            </w:r>
          </w:p>
        </w:tc>
        <w:tc>
          <w:tcPr>
            <w:tcW w:type="dxa" w:w="4320"/>
          </w:tcPr>
          <w:p>
            <w:r>
              <w:t>Party deciding essential processing parameters</w:t>
            </w:r>
          </w:p>
        </w:tc>
      </w:tr>
      <w:tr>
        <w:tc>
          <w:tcPr>
            <w:tcW w:type="dxa" w:w="4320"/>
          </w:tcPr>
          <w:p>
            <w:r>
              <w:t>Role determination</w:t>
            </w:r>
          </w:p>
        </w:tc>
        <w:tc>
          <w:tcPr>
            <w:tcW w:type="dxa" w:w="4320"/>
          </w:tcPr>
          <w:p>
            <w:r>
              <w:t>Controller, Processor, Joint Controller, Sub-Processor, or mixed-role outcome</w:t>
            </w:r>
          </w:p>
        </w:tc>
      </w:tr>
      <w:tr>
        <w:tc>
          <w:tcPr>
            <w:tcW w:type="dxa" w:w="4320"/>
          </w:tcPr>
          <w:p>
            <w:r>
              <w:t>Rationale</w:t>
            </w:r>
          </w:p>
        </w:tc>
        <w:tc>
          <w:tcPr>
            <w:tcW w:type="dxa" w:w="4320"/>
          </w:tcPr>
          <w:p>
            <w:r>
              <w:t>Reasoned explanation based on factual decision-making authority</w:t>
            </w:r>
          </w:p>
        </w:tc>
      </w:tr>
      <w:tr>
        <w:tc>
          <w:tcPr>
            <w:tcW w:type="dxa" w:w="4320"/>
          </w:tcPr>
          <w:p>
            <w:r>
              <w:t>Contract requirement</w:t>
            </w:r>
          </w:p>
        </w:tc>
        <w:tc>
          <w:tcPr>
            <w:tcW w:type="dxa" w:w="4320"/>
          </w:tcPr>
          <w:p>
            <w:r>
              <w:t>Required agreement type, data protection terms, or joint arrangement</w:t>
            </w:r>
          </w:p>
        </w:tc>
      </w:tr>
      <w:tr>
        <w:tc>
          <w:tcPr>
            <w:tcW w:type="dxa" w:w="4320"/>
          </w:tcPr>
          <w:p>
            <w:r>
              <w:t>Data subject responsibility</w:t>
            </w:r>
          </w:p>
        </w:tc>
        <w:tc>
          <w:tcPr>
            <w:tcW w:type="dxa" w:w="4320"/>
          </w:tcPr>
          <w:p>
            <w:r>
              <w:t>Party responsible for notices, rights handling, consent, and communications</w:t>
            </w:r>
          </w:p>
        </w:tc>
      </w:tr>
      <w:tr>
        <w:tc>
          <w:tcPr>
            <w:tcW w:type="dxa" w:w="4320"/>
          </w:tcPr>
          <w:p>
            <w:r>
              <w:t>Regulatory responsibility</w:t>
            </w:r>
          </w:p>
        </w:tc>
        <w:tc>
          <w:tcPr>
            <w:tcW w:type="dxa" w:w="4320"/>
          </w:tcPr>
          <w:p>
            <w:r>
              <w:t>Party responsible for notifications, cooperation, and regulatory correspondence</w:t>
            </w:r>
          </w:p>
        </w:tc>
      </w:tr>
      <w:tr>
        <w:tc>
          <w:tcPr>
            <w:tcW w:type="dxa" w:w="4320"/>
          </w:tcPr>
          <w:p>
            <w:r>
              <w:t>Approval</w:t>
            </w:r>
          </w:p>
        </w:tc>
        <w:tc>
          <w:tcPr>
            <w:tcW w:type="dxa" w:w="4320"/>
          </w:tcPr>
          <w:p>
            <w:r>
              <w:t>Legal, Privacy, and business approval evidence</w:t>
            </w:r>
          </w:p>
        </w:tc>
      </w:tr>
      <w:tr>
        <w:tc>
          <w:tcPr>
            <w:tcW w:type="dxa" w:w="4320"/>
          </w:tcPr>
          <w:p>
            <w:r>
              <w:t>Review date</w:t>
            </w:r>
          </w:p>
        </w:tc>
        <w:tc>
          <w:tcPr>
            <w:tcW w:type="dxa" w:w="4320"/>
          </w:tcPr>
          <w:p>
            <w:r>
              <w:t>Date for reassessment or trigger-based review</w:t>
            </w:r>
          </w:p>
        </w:tc>
      </w:tr>
    </w:tbl>
    <w:p>
      <w:pPr>
        <w:pStyle w:val="ListBullet"/>
      </w:pPr>
      <w:r>
        <w:t>The organisation shall maintain a central record of role determinations linked to the data inventory, records of processing activities, privacy notices, consent records, data protection impact assessments, contracts, supplier records, and transfer assessments where applicable.</w:t>
      </w:r>
    </w:p>
    <w:p>
      <w:pPr>
        <w:pStyle w:val="ListBullet"/>
      </w:pPr>
      <w:r>
        <w:t>The organisation shall ensure that the role determination outcome is reflected consistently in:</w:t>
      </w:r>
    </w:p>
    <w:p>
      <w:pPr>
        <w:pStyle w:val="ListBullet"/>
      </w:pPr>
      <w:r>
        <w:t>Privacy notices and fair processing information.</w:t>
      </w:r>
    </w:p>
    <w:p>
      <w:pPr>
        <w:pStyle w:val="ListBullet"/>
      </w:pPr>
      <w:r>
        <w:t>Consent wording and consent records, where consent is used.</w:t>
      </w:r>
    </w:p>
    <w:p>
      <w:pPr>
        <w:pStyle w:val="ListBullet"/>
      </w:pPr>
      <w:r>
        <w:t>Data subject rights handling processes.</w:t>
      </w:r>
    </w:p>
    <w:p>
      <w:pPr>
        <w:pStyle w:val="ListBullet"/>
      </w:pPr>
      <w:r>
        <w:t>Data sharing and processing agreements.</w:t>
      </w:r>
    </w:p>
    <w:p>
      <w:pPr>
        <w:pStyle w:val="ListBullet"/>
      </w:pPr>
      <w:r>
        <w:t>Supplier onboarding and due diligence records.</w:t>
      </w:r>
    </w:p>
    <w:p>
      <w:pPr>
        <w:pStyle w:val="ListBullet"/>
      </w:pPr>
      <w:r>
        <w:t>Internal data inventories and system records.</w:t>
      </w:r>
    </w:p>
    <w:p>
      <w:pPr>
        <w:pStyle w:val="ListBullet"/>
      </w:pPr>
      <w:r>
        <w:t>Security and access control requirements.</w:t>
      </w:r>
    </w:p>
    <w:p>
      <w:pPr>
        <w:pStyle w:val="ListBullet"/>
      </w:pPr>
      <w:r>
        <w:t>Incident management and breach notification responsibilities.</w:t>
      </w:r>
    </w:p>
    <w:p>
      <w:pPr>
        <w:pStyle w:val="ListBullet"/>
      </w:pPr>
      <w:r>
        <w:t>Cross-border transfer assessments and approvals.</w:t>
      </w:r>
    </w:p>
    <w:p>
      <w:pPr>
        <w:pStyle w:val="ListBullet"/>
      </w:pPr>
      <w:r>
        <w:t>Retention and deletion schedules.</w:t>
      </w:r>
    </w:p>
    <w:p>
      <w:pPr>
        <w:pStyle w:val="ListBullet"/>
      </w:pPr>
      <w:r>
        <w:t>Where the organisation acts as Controller, it shall ensure that the processing activity has an identified lawful basis or valid condition for processing before personal data is processed.</w:t>
      </w:r>
    </w:p>
    <w:p>
      <w:pPr>
        <w:pStyle w:val="ListBullet"/>
      </w:pPr>
      <w:r>
        <w:t>Where the organisation acts as Controller, it shall ensure that individuals receive clear information about the processing, including the purpose, categories of data, recipient categories, retention approach, rights, and relevant contact channels.</w:t>
      </w:r>
    </w:p>
    <w:p>
      <w:pPr>
        <w:pStyle w:val="ListBullet"/>
      </w:pPr>
      <w:r>
        <w:t>Where the organisation acts as Controller, it shall ensure that data subject rights requests are received, assessed, and fulfilled within applicable timeframes unless a lawful restriction applies.</w:t>
      </w:r>
    </w:p>
    <w:p>
      <w:pPr>
        <w:pStyle w:val="ListBullet"/>
      </w:pPr>
      <w:r>
        <w:t>Where the organisation acts as Controller, it shall ensure that personal data is collected only for specific, clear, and lawful purposes and is not further processed in a manner incompatible with those purposes unless permitted by law and approved through the required governance process.</w:t>
      </w:r>
    </w:p>
    <w:p>
      <w:pPr>
        <w:pStyle w:val="ListBullet"/>
      </w:pPr>
      <w:r>
        <w:t>Where the organisation acts as Controller, it shall ensure that personal data is limited to what is necessary for the defined purpose, accurate where required, retained only as long as necessary, and protected against unauthorised access, loss, destruction, alteration, or disclosure.</w:t>
      </w:r>
    </w:p>
    <w:p>
      <w:pPr>
        <w:pStyle w:val="ListBullet"/>
      </w:pPr>
      <w:r>
        <w:t>Where the organisation acts as Controller, it shall approve any Processor before processing begins and shall conduct proportionate due diligence on the Processor’s ability to protect personal data and comply with the organisation’s documented instructions.</w:t>
      </w:r>
    </w:p>
    <w:p>
      <w:pPr>
        <w:pStyle w:val="ListBullet"/>
      </w:pPr>
      <w:r>
        <w:t>Where the organisation acts as Controller, it shall not permit a Processor to process personal data unless a written agreement or equivalent binding arrangement is in place before processing starts.</w:t>
      </w:r>
    </w:p>
    <w:p>
      <w:pPr>
        <w:pStyle w:val="ListBullet"/>
      </w:pPr>
      <w:r>
        <w:t>Processor agreements shall include mandatory data protection terms covering, at minimum:</w:t>
      </w:r>
    </w:p>
    <w:p>
      <w:pPr>
        <w:pStyle w:val="ListBullet"/>
      </w:pPr>
      <w:r>
        <w:t>Processing only on documented instructions.</w:t>
      </w:r>
    </w:p>
    <w:p>
      <w:pPr>
        <w:pStyle w:val="ListBullet"/>
      </w:pPr>
      <w:r>
        <w:t>Confidentiality obligations.</w:t>
      </w:r>
    </w:p>
    <w:p>
      <w:pPr>
        <w:pStyle w:val="ListBullet"/>
      </w:pPr>
      <w:r>
        <w:t>Security measures appropriate to the risk.</w:t>
      </w:r>
    </w:p>
    <w:p>
      <w:pPr>
        <w:pStyle w:val="ListBullet"/>
      </w:pPr>
      <w:r>
        <w:t>Restrictions on unauthorised use or disclosure.</w:t>
      </w:r>
    </w:p>
    <w:p>
      <w:pPr>
        <w:pStyle w:val="ListBullet"/>
      </w:pPr>
      <w:r>
        <w:t>Assistance with data subject rights.</w:t>
      </w:r>
    </w:p>
    <w:p>
      <w:pPr>
        <w:pStyle w:val="ListBullet"/>
      </w:pPr>
      <w:r>
        <w:t>Assistance with incident management and regulatory obligations.</w:t>
      </w:r>
    </w:p>
    <w:p>
      <w:pPr>
        <w:pStyle w:val="ListBullet"/>
      </w:pPr>
      <w:r>
        <w:t>Rules for engaging sub-processors.</w:t>
      </w:r>
    </w:p>
    <w:p>
      <w:pPr>
        <w:pStyle w:val="ListBullet"/>
      </w:pPr>
      <w:r>
        <w:t>Return, deletion, or secure disposal of personal data at the end of the service.</w:t>
      </w:r>
    </w:p>
    <w:p>
      <w:pPr>
        <w:pStyle w:val="ListBullet"/>
      </w:pPr>
      <w:r>
        <w:t>Audit, assurance, and cooperation rights.</w:t>
      </w:r>
    </w:p>
    <w:p>
      <w:pPr>
        <w:pStyle w:val="ListBullet"/>
      </w:pPr>
      <w:r>
        <w:t>Restrictions and requirements for cross-border processing.</w:t>
      </w:r>
    </w:p>
    <w:p>
      <w:pPr>
        <w:pStyle w:val="ListBullet"/>
      </w:pPr>
      <w:r>
        <w:t>Notification of inability to comply with instructions or legal requirements.</w:t>
      </w:r>
    </w:p>
    <w:p>
      <w:pPr>
        <w:pStyle w:val="ListBullet"/>
      </w:pPr>
      <w:r>
        <w:t>Allocation of responsibilities for records and evidence.</w:t>
      </w:r>
    </w:p>
    <w:p>
      <w:pPr>
        <w:pStyle w:val="ListBullet"/>
      </w:pPr>
      <w:r>
        <w:t>Where the organisation acts as Processor, it shall process personal data only in accordance with the controller’s documented instructions, except where required by applicable law.</w:t>
      </w:r>
    </w:p>
    <w:p>
      <w:pPr>
        <w:pStyle w:val="ListBullet"/>
      </w:pPr>
      <w:r>
        <w:t>Where the organisation acts as Processor, it shall notify the controller without undue delay if instructions are unclear, incomplete, inconsistent with the agreement, technically infeasible, or reasonably believed to conflict with applicable law.</w:t>
      </w:r>
    </w:p>
    <w:p>
      <w:pPr>
        <w:pStyle w:val="ListBullet"/>
      </w:pPr>
      <w:r>
        <w:t>Where the organisation acts as Processor, it shall not process personal data for its own independent purposes unless a separate lawful basis, role determination, transparency requirement, and approval have been completed.</w:t>
      </w:r>
    </w:p>
    <w:p>
      <w:pPr>
        <w:pStyle w:val="ListBullet"/>
      </w:pPr>
      <w:r>
        <w:t>Where the organisation acts as Processor, it shall not engage a sub-processor unless permitted by the controller through prior written authorisation or the agreed contractual mechanism.</w:t>
      </w:r>
    </w:p>
    <w:p>
      <w:pPr>
        <w:pStyle w:val="ListBullet"/>
      </w:pPr>
      <w:r>
        <w:t>Where the organisation acts as Processor, it shall flow down equivalent data protection obligations to approved sub-processors and remain responsible for ensuring the sub-processor meets the required obligations.</w:t>
      </w:r>
    </w:p>
    <w:p>
      <w:pPr>
        <w:pStyle w:val="ListBullet"/>
      </w:pPr>
      <w:r>
        <w:t>Where the organisation acts as Processor, it shall support the controller in meeting obligations related to individual rights, security, incidents, assessments, audits, records, and deletion or return of personal data.</w:t>
      </w:r>
    </w:p>
    <w:p>
      <w:pPr>
        <w:pStyle w:val="ListBullet"/>
      </w:pPr>
      <w:r>
        <w:t>Where the organisation acts as Processor, it shall maintain evidence of controller instructions, processing operations performed, sub-processor approvals, security measures, incident communications, deletion actions, and agreed retention requirements.</w:t>
      </w:r>
    </w:p>
    <w:p>
      <w:pPr>
        <w:pStyle w:val="ListBullet"/>
      </w:pPr>
      <w:r>
        <w:t>Where the organisation acts as Joint Controller, it shall ensure that a written arrangement is established before processing begins, setting out each party’s responsibilities for:</w:t>
      </w:r>
    </w:p>
    <w:p>
      <w:pPr>
        <w:pStyle w:val="ListBullet"/>
      </w:pPr>
      <w:r>
        <w:t>Providing privacy information to individuals.</w:t>
      </w:r>
    </w:p>
    <w:p>
      <w:pPr>
        <w:pStyle w:val="ListBullet"/>
      </w:pPr>
      <w:r>
        <w:t>Establishing and documenting lawful basis or processing condition.</w:t>
      </w:r>
    </w:p>
    <w:p>
      <w:pPr>
        <w:pStyle w:val="ListBullet"/>
      </w:pPr>
      <w:r>
        <w:t>Managing consent, where applicable.</w:t>
      </w:r>
    </w:p>
    <w:p>
      <w:pPr>
        <w:pStyle w:val="ListBullet"/>
      </w:pPr>
      <w:r>
        <w:t>Handling data subject rights requests.</w:t>
      </w:r>
    </w:p>
    <w:p>
      <w:pPr>
        <w:pStyle w:val="ListBullet"/>
      </w:pPr>
      <w:r>
        <w:t>Maintaining data quality and accuracy.</w:t>
      </w:r>
    </w:p>
    <w:p>
      <w:pPr>
        <w:pStyle w:val="ListBullet"/>
      </w:pPr>
      <w:r>
        <w:t>Securing personal data.</w:t>
      </w:r>
    </w:p>
    <w:p>
      <w:pPr>
        <w:pStyle w:val="ListBullet"/>
      </w:pPr>
      <w:r>
        <w:t>Managing retention and deletion.</w:t>
      </w:r>
    </w:p>
    <w:p>
      <w:pPr>
        <w:pStyle w:val="ListBullet"/>
      </w:pPr>
      <w:r>
        <w:t>Handling incidents and notifications.</w:t>
      </w:r>
    </w:p>
    <w:p>
      <w:pPr>
        <w:pStyle w:val="ListBullet"/>
      </w:pPr>
      <w:r>
        <w:t>Responding to regulatory enquiries.</w:t>
      </w:r>
    </w:p>
    <w:p>
      <w:pPr>
        <w:pStyle w:val="ListBullet"/>
      </w:pPr>
      <w:r>
        <w:t>Managing cross-border transfers.</w:t>
      </w:r>
    </w:p>
    <w:p>
      <w:pPr>
        <w:pStyle w:val="ListBullet"/>
      </w:pPr>
      <w:r>
        <w:t>Maintaining records and evidence.</w:t>
      </w:r>
    </w:p>
    <w:p>
      <w:pPr>
        <w:pStyle w:val="ListBullet"/>
      </w:pPr>
      <w:r>
        <w:t>Where the organisation acts as Joint Controller, it shall ensure that individuals can clearly understand which party is responsible for which aspect of the processing and how to exercise their rights.</w:t>
      </w:r>
    </w:p>
    <w:p>
      <w:pPr>
        <w:pStyle w:val="ListBullet"/>
      </w:pPr>
      <w:r>
        <w:t>Where a processing activity involves multiple roles, the organisation shall document each role separately and ensure the applicable requirements are implemented for each part of the activity.</w:t>
      </w:r>
    </w:p>
    <w:p>
      <w:pPr>
        <w:pStyle w:val="ListBullet"/>
      </w:pPr>
      <w:r>
        <w:t>The organisation shall not start processing personal data where the role determination is incomplete, disputed, inconsistent with contract terms, or not approved by the required stakeholders.</w:t>
      </w:r>
    </w:p>
    <w:p>
      <w:pPr>
        <w:pStyle w:val="ListBullet"/>
      </w:pPr>
      <w:r>
        <w:t>The organisation shall escalate unresolved role determination questions to the Data Protection Officer and Legal function before any processing begins or continues.</w:t>
      </w:r>
    </w:p>
    <w:p>
      <w:pPr>
        <w:pStyle w:val="ListBullet"/>
      </w:pPr>
      <w:r>
        <w:t>The organisation shall reassess role determination when any of the following occurs:</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Required Action</w:t>
            </w:r>
          </w:p>
        </w:tc>
        <w:tc>
          <w:tcPr>
            <w:tcW w:type="dxa" w:w="2880"/>
          </w:tcPr>
          <w:p>
            <w:r>
              <w:t>Maximum Completion Time</w:t>
            </w:r>
          </w:p>
        </w:tc>
      </w:tr>
      <w:tr>
        <w:tc>
          <w:tcPr>
            <w:tcW w:type="dxa" w:w="2880"/>
          </w:tcPr>
          <w:p>
            <w:r>
              <w:t>New processing activity involving personal data</w:t>
            </w:r>
          </w:p>
        </w:tc>
        <w:tc>
          <w:tcPr>
            <w:tcW w:type="dxa" w:w="2880"/>
          </w:tcPr>
          <w:p>
            <w:r>
              <w:t>Complete role determination before launch</w:t>
            </w:r>
          </w:p>
        </w:tc>
        <w:tc>
          <w:tcPr>
            <w:tcW w:type="dxa" w:w="2880"/>
          </w:tcPr>
          <w:p>
            <w:r>
              <w:t>Before processing starts</w:t>
            </w:r>
          </w:p>
        </w:tc>
      </w:tr>
      <w:tr>
        <w:tc>
          <w:tcPr>
            <w:tcW w:type="dxa" w:w="2880"/>
          </w:tcPr>
          <w:p>
            <w:r>
              <w:t>New supplier, customer, partner, or outsourcing arrangement</w:t>
            </w:r>
          </w:p>
        </w:tc>
        <w:tc>
          <w:tcPr>
            <w:tcW w:type="dxa" w:w="2880"/>
          </w:tcPr>
          <w:p>
            <w:r>
              <w:t>Complete role determination and contract alignment</w:t>
            </w:r>
          </w:p>
        </w:tc>
        <w:tc>
          <w:tcPr>
            <w:tcW w:type="dxa" w:w="2880"/>
          </w:tcPr>
          <w:p>
            <w:r>
              <w:t>Before contract signature or data access</w:t>
            </w:r>
          </w:p>
        </w:tc>
      </w:tr>
      <w:tr>
        <w:tc>
          <w:tcPr>
            <w:tcW w:type="dxa" w:w="2880"/>
          </w:tcPr>
          <w:p>
            <w:r>
              <w:t>New or changed processing purpose</w:t>
            </w:r>
          </w:p>
        </w:tc>
        <w:tc>
          <w:tcPr>
            <w:tcW w:type="dxa" w:w="2880"/>
          </w:tcPr>
          <w:p>
            <w:r>
              <w:t>Reassess role and lawful basis</w:t>
            </w:r>
          </w:p>
        </w:tc>
        <w:tc>
          <w:tcPr>
            <w:tcW w:type="dxa" w:w="2880"/>
          </w:tcPr>
          <w:p>
            <w:r>
              <w:t>Before new purpose begins</w:t>
            </w:r>
          </w:p>
        </w:tc>
      </w:tr>
      <w:tr>
        <w:tc>
          <w:tcPr>
            <w:tcW w:type="dxa" w:w="2880"/>
          </w:tcPr>
          <w:p>
            <w:r>
              <w:t>New data category or sensitive data use</w:t>
            </w:r>
          </w:p>
        </w:tc>
        <w:tc>
          <w:tcPr>
            <w:tcW w:type="dxa" w:w="2880"/>
          </w:tcPr>
          <w:p>
            <w:r>
              <w:t>Reassess role and risk</w:t>
            </w:r>
          </w:p>
        </w:tc>
        <w:tc>
          <w:tcPr>
            <w:tcW w:type="dxa" w:w="2880"/>
          </w:tcPr>
          <w:p>
            <w:r>
              <w:t>Before collection or use</w:t>
            </w:r>
          </w:p>
        </w:tc>
      </w:tr>
      <w:tr>
        <w:tc>
          <w:tcPr>
            <w:tcW w:type="dxa" w:w="2880"/>
          </w:tcPr>
          <w:p>
            <w:r>
              <w:t>New disclosure or data-sharing arrangement</w:t>
            </w:r>
          </w:p>
        </w:tc>
        <w:tc>
          <w:tcPr>
            <w:tcW w:type="dxa" w:w="2880"/>
          </w:tcPr>
          <w:p>
            <w:r>
              <w:t>Reassess role and agreement type</w:t>
            </w:r>
          </w:p>
        </w:tc>
        <w:tc>
          <w:tcPr>
            <w:tcW w:type="dxa" w:w="2880"/>
          </w:tcPr>
          <w:p>
            <w:r>
              <w:t>Before disclosure</w:t>
            </w:r>
          </w:p>
        </w:tc>
      </w:tr>
      <w:tr>
        <w:tc>
          <w:tcPr>
            <w:tcW w:type="dxa" w:w="2880"/>
          </w:tcPr>
          <w:p>
            <w:r>
              <w:t>New sub-processor</w:t>
            </w:r>
          </w:p>
        </w:tc>
        <w:tc>
          <w:tcPr>
            <w:tcW w:type="dxa" w:w="2880"/>
          </w:tcPr>
          <w:p>
            <w:r>
              <w:t>Confirm controller approval and flow-down terms</w:t>
            </w:r>
          </w:p>
        </w:tc>
        <w:tc>
          <w:tcPr>
            <w:tcW w:type="dxa" w:w="2880"/>
          </w:tcPr>
          <w:p>
            <w:r>
              <w:t>Before engagement</w:t>
            </w:r>
          </w:p>
        </w:tc>
      </w:tr>
      <w:tr>
        <w:tc>
          <w:tcPr>
            <w:tcW w:type="dxa" w:w="2880"/>
          </w:tcPr>
          <w:p>
            <w:r>
              <w:t>Cross-border processing or hosting change</w:t>
            </w:r>
          </w:p>
        </w:tc>
        <w:tc>
          <w:tcPr>
            <w:tcW w:type="dxa" w:w="2880"/>
          </w:tcPr>
          <w:p>
            <w:r>
              <w:t>Reassess role and transfer responsibilities</w:t>
            </w:r>
          </w:p>
        </w:tc>
        <w:tc>
          <w:tcPr>
            <w:tcW w:type="dxa" w:w="2880"/>
          </w:tcPr>
          <w:p>
            <w:r>
              <w:t>Before transfer</w:t>
            </w:r>
          </w:p>
        </w:tc>
      </w:tr>
      <w:tr>
        <w:tc>
          <w:tcPr>
            <w:tcW w:type="dxa" w:w="2880"/>
          </w:tcPr>
          <w:p>
            <w:r>
              <w:t>Material system, workflow, or technology change</w:t>
            </w:r>
          </w:p>
        </w:tc>
        <w:tc>
          <w:tcPr>
            <w:tcW w:type="dxa" w:w="2880"/>
          </w:tcPr>
          <w:p>
            <w:r>
              <w:t>Reassess operational control and responsibilities</w:t>
            </w:r>
          </w:p>
        </w:tc>
        <w:tc>
          <w:tcPr>
            <w:tcW w:type="dxa" w:w="2880"/>
          </w:tcPr>
          <w:p>
            <w:r>
              <w:t>Before go-live</w:t>
            </w:r>
          </w:p>
        </w:tc>
      </w:tr>
      <w:tr>
        <w:tc>
          <w:tcPr>
            <w:tcW w:type="dxa" w:w="2880"/>
          </w:tcPr>
          <w:p>
            <w:r>
              <w:t>Data protection incident involving external parties</w:t>
            </w:r>
          </w:p>
        </w:tc>
        <w:tc>
          <w:tcPr>
            <w:tcW w:type="dxa" w:w="2880"/>
          </w:tcPr>
          <w:p>
            <w:r>
              <w:t>Confirm roles for notification and accountability</w:t>
            </w:r>
          </w:p>
        </w:tc>
        <w:tc>
          <w:tcPr>
            <w:tcW w:type="dxa" w:w="2880"/>
          </w:tcPr>
          <w:p>
            <w:r>
              <w:t>During incident triage</w:t>
            </w:r>
          </w:p>
        </w:tc>
      </w:tr>
      <w:tr>
        <w:tc>
          <w:tcPr>
            <w:tcW w:type="dxa" w:w="2880"/>
          </w:tcPr>
          <w:p>
            <w:r>
              <w:t>Contract renewal or major amendment</w:t>
            </w:r>
          </w:p>
        </w:tc>
        <w:tc>
          <w:tcPr>
            <w:tcW w:type="dxa" w:w="2880"/>
          </w:tcPr>
          <w:p>
            <w:r>
              <w:t>Confirm role alignment and update terms</w:t>
            </w:r>
          </w:p>
        </w:tc>
        <w:tc>
          <w:tcPr>
            <w:tcW w:type="dxa" w:w="2880"/>
          </w:tcPr>
          <w:p>
            <w:r>
              <w:t>Before renewal or amendment</w:t>
            </w:r>
          </w:p>
        </w:tc>
      </w:tr>
      <w:tr>
        <w:tc>
          <w:tcPr>
            <w:tcW w:type="dxa" w:w="2880"/>
          </w:tcPr>
          <w:p>
            <w:r>
              <w:t>Regulatory enquiry, complaint, or audit finding</w:t>
            </w:r>
          </w:p>
        </w:tc>
        <w:tc>
          <w:tcPr>
            <w:tcW w:type="dxa" w:w="2880"/>
          </w:tcPr>
          <w:p>
            <w:r>
              <w:t>Validate role determination evidence</w:t>
            </w:r>
          </w:p>
        </w:tc>
        <w:tc>
          <w:tcPr>
            <w:tcW w:type="dxa" w:w="2880"/>
          </w:tcPr>
          <w:p>
            <w:r>
              <w:t>As directed by DPO or Legal</w:t>
            </w:r>
          </w:p>
        </w:tc>
      </w:tr>
    </w:tbl>
    <w:p>
      <w:pPr>
        <w:pStyle w:val="ListBullet"/>
      </w:pPr>
      <w:r>
        <w:t>The organisation shall resolve inconsistencies between role determination, contracts, operational practice, privacy notices, and system configuration before processing continues, unless temporary continuation is approved through the exception process.</w:t>
      </w:r>
    </w:p>
    <w:p>
      <w:pPr>
        <w:pStyle w:val="ListBullet"/>
      </w:pPr>
      <w:r>
        <w:t>The organisation shall ensure personnel involved in procurement, product design, system development, marketing, human resources, legal, compliance, vendor management, customer operations, and data analytics are trained to identify when role determination is required.</w:t>
      </w:r>
    </w:p>
    <w:p>
      <w:pPr>
        <w:pStyle w:val="ListBullet"/>
      </w:pPr>
      <w:r>
        <w:t>The organisation shall retain role determination records and supporting evidence for the life of the processing activity and for the applicable retention period after the activity ends.</w:t>
      </w:r>
    </w:p>
    <w:p>
      <w:pPr>
        <w:pStyle w:val="ListBullet"/>
      </w:pPr>
      <w:r>
        <w:t>The organisation shall ensure role determination records are made available to authorised internal audit, compliance, legal, privacy, security, and regulatory response teams when required.</w:t>
      </w:r>
    </w:p>
    <w:p>
      <w:pPr>
        <w:pStyle w:val="ListBullet"/>
      </w:pPr>
      <w:r>
        <w:t>The organisation shall prohibit intentional misclassification of roles to avoid legal, contractual, operational, or accountability obligations.</w:t>
      </w:r>
    </w:p>
    <w:p>
      <w:pPr>
        <w:pStyle w:val="ListBullet"/>
      </w:pPr>
      <w:r>
        <w:t>The organisation shall treat failure to complete role determination, failure to follow approved role obligations, or unauthorised processing outside the determined role as a compliance breach subject to remediation and enforcement.</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Provides oversight of the organisation’s data protection governance and ensures management establishes accountability for personal data processing.</w:t>
            </w:r>
          </w:p>
        </w:tc>
      </w:tr>
      <w:tr>
        <w:tc>
          <w:tcPr>
            <w:tcW w:type="dxa" w:w="4320"/>
          </w:tcPr>
          <w:p>
            <w:r>
              <w:t>Executive Management</w:t>
            </w:r>
          </w:p>
        </w:tc>
        <w:tc>
          <w:tcPr>
            <w:tcW w:type="dxa" w:w="4320"/>
          </w:tcPr>
          <w:p>
            <w:r>
              <w:t>Ensures business functions comply with this Policy and allocate sufficient resources to complete role determination and implement required controls.</w:t>
            </w:r>
          </w:p>
        </w:tc>
      </w:tr>
      <w:tr>
        <w:tc>
          <w:tcPr>
            <w:tcW w:type="dxa" w:w="4320"/>
          </w:tcPr>
          <w:p>
            <w:r>
              <w:t>Data Protection Officer</w:t>
            </w:r>
          </w:p>
        </w:tc>
        <w:tc>
          <w:tcPr>
            <w:tcW w:type="dxa" w:w="4320"/>
          </w:tcPr>
          <w:p>
            <w:r>
              <w:t>Owns this Policy, provides guidance on role determination, reviews high-risk or disputed assessments, monitors compliance, and reports material issues to management.</w:t>
            </w:r>
          </w:p>
        </w:tc>
      </w:tr>
      <w:tr>
        <w:tc>
          <w:tcPr>
            <w:tcW w:type="dxa" w:w="4320"/>
          </w:tcPr>
          <w:p>
            <w:r>
              <w:t>Legal Function</w:t>
            </w:r>
          </w:p>
        </w:tc>
        <w:tc>
          <w:tcPr>
            <w:tcW w:type="dxa" w:w="4320"/>
          </w:tcPr>
          <w:p>
            <w:r>
              <w:t>Reviews contractual role language, data processing agreements, joint controller arrangements, data-sharing terms, and disputes concerning legal responsibility.</w:t>
            </w:r>
          </w:p>
        </w:tc>
      </w:tr>
      <w:tr>
        <w:tc>
          <w:tcPr>
            <w:tcW w:type="dxa" w:w="4320"/>
          </w:tcPr>
          <w:p>
            <w:r>
              <w:t>Privacy / Data Protection Team</w:t>
            </w:r>
          </w:p>
        </w:tc>
        <w:tc>
          <w:tcPr>
            <w:tcW w:type="dxa" w:w="4320"/>
          </w:tcPr>
          <w:p>
            <w:r>
              <w:t>Maintains templates, reviews assessments, supports data inventory alignment, advises on privacy notices, rights handling, consent, and records of processing.</w:t>
            </w:r>
          </w:p>
        </w:tc>
      </w:tr>
      <w:tr>
        <w:tc>
          <w:tcPr>
            <w:tcW w:type="dxa" w:w="4320"/>
          </w:tcPr>
          <w:p>
            <w:r>
              <w:t>Business Owner</w:t>
            </w:r>
          </w:p>
        </w:tc>
        <w:tc>
          <w:tcPr>
            <w:tcW w:type="dxa" w:w="4320"/>
          </w:tcPr>
          <w:p>
            <w:r>
              <w:t>Initiates role determination for processing activities under their control, provides accurate operational facts, ensures processing does not begin until approved, and implements required obligations.</w:t>
            </w:r>
          </w:p>
        </w:tc>
      </w:tr>
      <w:tr>
        <w:tc>
          <w:tcPr>
            <w:tcW w:type="dxa" w:w="4320"/>
          </w:tcPr>
          <w:p>
            <w:r>
              <w:t>Process Owner / System Owner</w:t>
            </w:r>
          </w:p>
        </w:tc>
        <w:tc>
          <w:tcPr>
            <w:tcW w:type="dxa" w:w="4320"/>
          </w:tcPr>
          <w:p>
            <w:r>
              <w:t>Maintains system and process details, confirms data flows, access, retention, integrations, hosting, and operational decision points relevant to role determination.</w:t>
            </w:r>
          </w:p>
        </w:tc>
      </w:tr>
      <w:tr>
        <w:tc>
          <w:tcPr>
            <w:tcW w:type="dxa" w:w="4320"/>
          </w:tcPr>
          <w:p>
            <w:r>
              <w:t>Procurement / Vendor Management</w:t>
            </w:r>
          </w:p>
        </w:tc>
        <w:tc>
          <w:tcPr>
            <w:tcW w:type="dxa" w:w="4320"/>
          </w:tcPr>
          <w:p>
            <w:r>
              <w:t>Ensures role determination is completed before supplier onboarding, data access, contract signature, renewal, or material service change involving personal data.</w:t>
            </w:r>
          </w:p>
        </w:tc>
      </w:tr>
      <w:tr>
        <w:tc>
          <w:tcPr>
            <w:tcW w:type="dxa" w:w="4320"/>
          </w:tcPr>
          <w:p>
            <w:r>
              <w:t>Information Security</w:t>
            </w:r>
          </w:p>
        </w:tc>
        <w:tc>
          <w:tcPr>
            <w:tcW w:type="dxa" w:w="4320"/>
          </w:tcPr>
          <w:p>
            <w:r>
              <w:t>Advises on security obligations, access controls, data protection measures, incident handling responsibilities, and supplier security assurance.</w:t>
            </w:r>
          </w:p>
        </w:tc>
      </w:tr>
      <w:tr>
        <w:tc>
          <w:tcPr>
            <w:tcW w:type="dxa" w:w="4320"/>
          </w:tcPr>
          <w:p>
            <w:r>
              <w:t>Contract Owner</w:t>
            </w:r>
          </w:p>
        </w:tc>
        <w:tc>
          <w:tcPr>
            <w:tcW w:type="dxa" w:w="4320"/>
          </w:tcPr>
          <w:p>
            <w:r>
              <w:t>Ensures contracts reflect the approved role determination and that agreed data protection terms remain current throughout the relationship.</w:t>
            </w:r>
          </w:p>
        </w:tc>
      </w:tr>
      <w:tr>
        <w:tc>
          <w:tcPr>
            <w:tcW w:type="dxa" w:w="4320"/>
          </w:tcPr>
          <w:p>
            <w:r>
              <w:t>Human Resources</w:t>
            </w:r>
          </w:p>
        </w:tc>
        <w:tc>
          <w:tcPr>
            <w:tcW w:type="dxa" w:w="4320"/>
          </w:tcPr>
          <w:p>
            <w:r>
              <w:t>Applies this Policy to employee, applicant, contractor, and workforce processing activities and ensures employment-related service providers are correctly classified.</w:t>
            </w:r>
          </w:p>
        </w:tc>
      </w:tr>
      <w:tr>
        <w:tc>
          <w:tcPr>
            <w:tcW w:type="dxa" w:w="4320"/>
          </w:tcPr>
          <w:p>
            <w:r>
              <w:t>Marketing / Communications</w:t>
            </w:r>
          </w:p>
        </w:tc>
        <w:tc>
          <w:tcPr>
            <w:tcW w:type="dxa" w:w="4320"/>
          </w:tcPr>
          <w:p>
            <w:r>
              <w:t>Applies this Policy to campaigns, analytics, profiling, lead generation, consent-based processing, and third-party marketing relationships.</w:t>
            </w:r>
          </w:p>
        </w:tc>
      </w:tr>
      <w:tr>
        <w:tc>
          <w:tcPr>
            <w:tcW w:type="dxa" w:w="4320"/>
          </w:tcPr>
          <w:p>
            <w:r>
              <w:t>IT / Technology Teams</w:t>
            </w:r>
          </w:p>
        </w:tc>
        <w:tc>
          <w:tcPr>
            <w:tcW w:type="dxa" w:w="4320"/>
          </w:tcPr>
          <w:p>
            <w:r>
              <w:t>Ensure system configuration, integrations, logging, access, storage, deletion, and data transfer mechanisms align with the approved role determination.</w:t>
            </w:r>
          </w:p>
        </w:tc>
      </w:tr>
      <w:tr>
        <w:tc>
          <w:tcPr>
            <w:tcW w:type="dxa" w:w="4320"/>
          </w:tcPr>
          <w:p>
            <w:r>
              <w:t>Internal Audit</w:t>
            </w:r>
          </w:p>
        </w:tc>
        <w:tc>
          <w:tcPr>
            <w:tcW w:type="dxa" w:w="4320"/>
          </w:tcPr>
          <w:p>
            <w:r>
              <w:t>Independently reviews adherence to this Policy and reports findings to management.</w:t>
            </w:r>
          </w:p>
        </w:tc>
      </w:tr>
      <w:tr>
        <w:tc>
          <w:tcPr>
            <w:tcW w:type="dxa" w:w="4320"/>
          </w:tcPr>
          <w:p>
            <w:r>
              <w:t>Employees and Contractors</w:t>
            </w:r>
          </w:p>
        </w:tc>
        <w:tc>
          <w:tcPr>
            <w:tcW w:type="dxa" w:w="4320"/>
          </w:tcPr>
          <w:p>
            <w:r>
              <w:t>Follow this Policy, provide accurate information, use approved processes, and promptly report unclear or unauthorised processing arrangements.</w:t>
            </w:r>
          </w:p>
        </w:tc>
      </w:tr>
    </w:tbl>
    <w:p>
      <w:pPr>
        <w:pStyle w:val="Heading2"/>
      </w:pPr>
      <w:r>
        <w:t>Compliance, Monitoring &amp; Enforcement</w:t>
      </w:r>
    </w:p>
    <w:p>
      <w:r>
        <w:t>Compliance with this Policy is mandatory.</w:t>
      </w:r>
    </w:p>
    <w:p>
      <w:r>
        <w:t>The Data Protection Officer, with support from Legal, Privacy, Procurement, Information Security, and Internal Audit, shall monitor compliance through appropriate governance activities, including:</w:t>
      </w:r>
    </w:p>
    <w:p>
      <w:pPr>
        <w:pStyle w:val="ListBullet"/>
      </w:pPr>
      <w:r>
        <w:t>Periodic review of role determination records.</w:t>
      </w:r>
    </w:p>
    <w:p>
      <w:pPr>
        <w:pStyle w:val="ListBullet"/>
      </w:pPr>
      <w:r>
        <w:t>Sampling of new and changed processing activities.</w:t>
      </w:r>
    </w:p>
    <w:p>
      <w:pPr>
        <w:pStyle w:val="ListBullet"/>
      </w:pPr>
      <w:r>
        <w:t>Review of supplier onboarding files and contracts involving personal data.</w:t>
      </w:r>
    </w:p>
    <w:p>
      <w:pPr>
        <w:pStyle w:val="ListBullet"/>
      </w:pPr>
      <w:r>
        <w:t>Comparison of contracts against actual processing practice.</w:t>
      </w:r>
    </w:p>
    <w:p>
      <w:pPr>
        <w:pStyle w:val="ListBullet"/>
      </w:pPr>
      <w:r>
        <w:t>Review of privacy notices, consent records, data inventories, and records of processing.</w:t>
      </w:r>
    </w:p>
    <w:p>
      <w:pPr>
        <w:pStyle w:val="ListBullet"/>
      </w:pPr>
      <w:r>
        <w:t>Assessment of high-risk, sensitive, large-scale, cross-border, or multi-party processing activities.</w:t>
      </w:r>
    </w:p>
    <w:p>
      <w:pPr>
        <w:pStyle w:val="ListBullet"/>
      </w:pPr>
      <w:r>
        <w:t>Monitoring of incidents, complaints, data subject requests, regulatory correspondence, and audit findings for role-related issues.</w:t>
      </w:r>
    </w:p>
    <w:p>
      <w:pPr>
        <w:pStyle w:val="ListBullet"/>
      </w:pPr>
      <w:r>
        <w:t>Review of sub-processor approvals and onward processing arrangements.</w:t>
      </w:r>
    </w:p>
    <w:p>
      <w:pPr>
        <w:pStyle w:val="ListBullet"/>
      </w:pPr>
      <w:r>
        <w:t>Training completion and awareness monitoring for relevant personnel.</w:t>
      </w:r>
    </w:p>
    <w:p>
      <w:r>
        <w:t>The organisation shall maintain evidence of compliance, which may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Owner</w:t>
            </w:r>
          </w:p>
        </w:tc>
        <w:tc>
          <w:tcPr>
            <w:tcW w:type="dxa" w:w="2880"/>
          </w:tcPr>
          <w:p>
            <w:r>
              <w:t>Minimum Expected Evidence</w:t>
            </w:r>
          </w:p>
        </w:tc>
      </w:tr>
      <w:tr>
        <w:tc>
          <w:tcPr>
            <w:tcW w:type="dxa" w:w="2880"/>
          </w:tcPr>
          <w:p>
            <w:r>
              <w:t>Role Determination Assessment</w:t>
            </w:r>
          </w:p>
        </w:tc>
        <w:tc>
          <w:tcPr>
            <w:tcW w:type="dxa" w:w="2880"/>
          </w:tcPr>
          <w:p>
            <w:r>
              <w:t>Business Owner / Privacy Team</w:t>
            </w:r>
          </w:p>
        </w:tc>
        <w:tc>
          <w:tcPr>
            <w:tcW w:type="dxa" w:w="2880"/>
          </w:tcPr>
          <w:p>
            <w:r>
              <w:t>Completed assessment, rationale, approvals, and review date</w:t>
            </w:r>
          </w:p>
        </w:tc>
      </w:tr>
      <w:tr>
        <w:tc>
          <w:tcPr>
            <w:tcW w:type="dxa" w:w="2880"/>
          </w:tcPr>
          <w:p>
            <w:r>
              <w:t>Data Inventory Entry</w:t>
            </w:r>
          </w:p>
        </w:tc>
        <w:tc>
          <w:tcPr>
            <w:tcW w:type="dxa" w:w="2880"/>
          </w:tcPr>
          <w:p>
            <w:r>
              <w:t>Process Owner</w:t>
            </w:r>
          </w:p>
        </w:tc>
        <w:tc>
          <w:tcPr>
            <w:tcW w:type="dxa" w:w="2880"/>
          </w:tcPr>
          <w:p>
            <w:r>
              <w:t>Updated processing activity record with role classification</w:t>
            </w:r>
          </w:p>
        </w:tc>
      </w:tr>
      <w:tr>
        <w:tc>
          <w:tcPr>
            <w:tcW w:type="dxa" w:w="2880"/>
          </w:tcPr>
          <w:p>
            <w:r>
              <w:t>Contract or Agreement</w:t>
            </w:r>
          </w:p>
        </w:tc>
        <w:tc>
          <w:tcPr>
            <w:tcW w:type="dxa" w:w="2880"/>
          </w:tcPr>
          <w:p>
            <w:r>
              <w:t>Contract Owner / Legal</w:t>
            </w:r>
          </w:p>
        </w:tc>
        <w:tc>
          <w:tcPr>
            <w:tcW w:type="dxa" w:w="2880"/>
          </w:tcPr>
          <w:p>
            <w:r>
              <w:t>Agreement reflecting controller, processor, joint controller, or sub-processor obligations</w:t>
            </w:r>
          </w:p>
        </w:tc>
      </w:tr>
      <w:tr>
        <w:tc>
          <w:tcPr>
            <w:tcW w:type="dxa" w:w="2880"/>
          </w:tcPr>
          <w:p>
            <w:r>
              <w:t>Supplier Due Diligence</w:t>
            </w:r>
          </w:p>
        </w:tc>
        <w:tc>
          <w:tcPr>
            <w:tcW w:type="dxa" w:w="2880"/>
          </w:tcPr>
          <w:p>
            <w:r>
              <w:t>Procurement / Vendor Management</w:t>
            </w:r>
          </w:p>
        </w:tc>
        <w:tc>
          <w:tcPr>
            <w:tcW w:type="dxa" w:w="2880"/>
          </w:tcPr>
          <w:p>
            <w:r>
              <w:t>Completed privacy and security due diligence before onboarding</w:t>
            </w:r>
          </w:p>
        </w:tc>
      </w:tr>
      <w:tr>
        <w:tc>
          <w:tcPr>
            <w:tcW w:type="dxa" w:w="2880"/>
          </w:tcPr>
          <w:p>
            <w:r>
              <w:t>Privacy Notice Alignment</w:t>
            </w:r>
          </w:p>
        </w:tc>
        <w:tc>
          <w:tcPr>
            <w:tcW w:type="dxa" w:w="2880"/>
          </w:tcPr>
          <w:p>
            <w:r>
              <w:t>Privacy Team / Business Owner</w:t>
            </w:r>
          </w:p>
        </w:tc>
        <w:tc>
          <w:tcPr>
            <w:tcW w:type="dxa" w:w="2880"/>
          </w:tcPr>
          <w:p>
            <w:r>
              <w:t>Notice content reflecting the organisation’s role and processing purpose</w:t>
            </w:r>
          </w:p>
        </w:tc>
      </w:tr>
      <w:tr>
        <w:tc>
          <w:tcPr>
            <w:tcW w:type="dxa" w:w="2880"/>
          </w:tcPr>
          <w:p>
            <w:r>
              <w:t>Data Subject Rights Workflow</w:t>
            </w:r>
          </w:p>
        </w:tc>
        <w:tc>
          <w:tcPr>
            <w:tcW w:type="dxa" w:w="2880"/>
          </w:tcPr>
          <w:p>
            <w:r>
              <w:t>Privacy Team</w:t>
            </w:r>
          </w:p>
        </w:tc>
        <w:tc>
          <w:tcPr>
            <w:tcW w:type="dxa" w:w="2880"/>
          </w:tcPr>
          <w:p>
            <w:r>
              <w:t>Responsibility allocation and handling records</w:t>
            </w:r>
          </w:p>
        </w:tc>
      </w:tr>
      <w:tr>
        <w:tc>
          <w:tcPr>
            <w:tcW w:type="dxa" w:w="2880"/>
          </w:tcPr>
          <w:p>
            <w:r>
              <w:t>Sub-Processor Approval</w:t>
            </w:r>
          </w:p>
        </w:tc>
        <w:tc>
          <w:tcPr>
            <w:tcW w:type="dxa" w:w="2880"/>
          </w:tcPr>
          <w:p>
            <w:r>
              <w:t>Contract Owner / Procurement</w:t>
            </w:r>
          </w:p>
        </w:tc>
        <w:tc>
          <w:tcPr>
            <w:tcW w:type="dxa" w:w="2880"/>
          </w:tcPr>
          <w:p>
            <w:r>
              <w:t>Controller authorisation and flow-down obligations</w:t>
            </w:r>
          </w:p>
        </w:tc>
      </w:tr>
      <w:tr>
        <w:tc>
          <w:tcPr>
            <w:tcW w:type="dxa" w:w="2880"/>
          </w:tcPr>
          <w:p>
            <w:r>
              <w:t>Training Record</w:t>
            </w:r>
          </w:p>
        </w:tc>
        <w:tc>
          <w:tcPr>
            <w:tcW w:type="dxa" w:w="2880"/>
          </w:tcPr>
          <w:p>
            <w:r>
              <w:t>HR / Compliance</w:t>
            </w:r>
          </w:p>
        </w:tc>
        <w:tc>
          <w:tcPr>
            <w:tcW w:type="dxa" w:w="2880"/>
          </w:tcPr>
          <w:p>
            <w:r>
              <w:t>Completion records for relevant personnel</w:t>
            </w:r>
          </w:p>
        </w:tc>
      </w:tr>
      <w:tr>
        <w:tc>
          <w:tcPr>
            <w:tcW w:type="dxa" w:w="2880"/>
          </w:tcPr>
          <w:p>
            <w:r>
              <w:t>Review Record</w:t>
            </w:r>
          </w:p>
        </w:tc>
        <w:tc>
          <w:tcPr>
            <w:tcW w:type="dxa" w:w="2880"/>
          </w:tcPr>
          <w:p>
            <w:r>
              <w:t>DPO / Privacy Team</w:t>
            </w:r>
          </w:p>
        </w:tc>
        <w:tc>
          <w:tcPr>
            <w:tcW w:type="dxa" w:w="2880"/>
          </w:tcPr>
          <w:p>
            <w:r>
              <w:t>Periodic or trigger-based reassessment evidence</w:t>
            </w:r>
          </w:p>
        </w:tc>
      </w:tr>
    </w:tbl>
    <w:p>
      <w:r>
        <w:t>Non-compliance with this Policy may result in:</w:t>
      </w:r>
    </w:p>
    <w:p>
      <w:pPr>
        <w:pStyle w:val="ListBullet"/>
      </w:pPr>
      <w:r>
        <w:t>Suspension or delay of the processing activity.</w:t>
      </w:r>
    </w:p>
    <w:p>
      <w:pPr>
        <w:pStyle w:val="ListBullet"/>
      </w:pPr>
      <w:r>
        <w:t>Suspension of supplier onboarding, contract execution, data sharing, or system go-live.</w:t>
      </w:r>
    </w:p>
    <w:p>
      <w:pPr>
        <w:pStyle w:val="ListBullet"/>
      </w:pPr>
      <w:r>
        <w:t>Mandatory remediation plan and management reporting.</w:t>
      </w:r>
    </w:p>
    <w:p>
      <w:pPr>
        <w:pStyle w:val="ListBullet"/>
      </w:pPr>
      <w:r>
        <w:t>Contractual remedies against suppliers or partners.</w:t>
      </w:r>
    </w:p>
    <w:p>
      <w:pPr>
        <w:pStyle w:val="ListBullet"/>
      </w:pPr>
      <w:r>
        <w:t>Revocation of system access or processing authority.</w:t>
      </w:r>
    </w:p>
    <w:p>
      <w:pPr>
        <w:pStyle w:val="ListBullet"/>
      </w:pPr>
      <w:r>
        <w:t>Disciplinary action in accordance with organisational policies.</w:t>
      </w:r>
    </w:p>
    <w:p>
      <w:pPr>
        <w:pStyle w:val="ListBullet"/>
      </w:pPr>
      <w:r>
        <w:t>Escalation to executive management, the governing body, or relevant authorities where required.</w:t>
      </w:r>
    </w:p>
    <w:p>
      <w:r>
        <w:t>Material breaches of this Policy shall be reported to the Data Protection Officer and handled under the organisation’s incident management, compliance breach, and disciplinary processes.</w:t>
      </w:r>
    </w:p>
    <w:p>
      <w:pPr>
        <w:pStyle w:val="Heading2"/>
      </w:pPr>
      <w:r>
        <w:t>Exceptions</w:t>
      </w:r>
    </w:p>
    <w:p>
      <w:r>
        <w:t>Exceptions to this Policy are permitted only where there is a documented, justified, time-bound business or legal need and where the exception does not result in unlawful processing of personal data.</w:t>
      </w:r>
    </w:p>
    <w:p>
      <w:r>
        <w:t>Exception requests shall be submitted to the Data Protection Officer before processing begins or, where discovered after processing has started, immediately upon identification.</w:t>
      </w:r>
    </w:p>
    <w:p>
      <w:r>
        <w:t>Each exception request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Requestor</w:t>
            </w:r>
          </w:p>
        </w:tc>
        <w:tc>
          <w:tcPr>
            <w:tcW w:type="dxa" w:w="4320"/>
          </w:tcPr>
          <w:p>
            <w:r>
              <w:t>Name, role, department, and contact details</w:t>
            </w:r>
          </w:p>
        </w:tc>
      </w:tr>
      <w:tr>
        <w:tc>
          <w:tcPr>
            <w:tcW w:type="dxa" w:w="4320"/>
          </w:tcPr>
          <w:p>
            <w:r>
              <w:t>Processing activity</w:t>
            </w:r>
          </w:p>
        </w:tc>
        <w:tc>
          <w:tcPr>
            <w:tcW w:type="dxa" w:w="4320"/>
          </w:tcPr>
          <w:p>
            <w:r>
              <w:t>Description of the activity and personal data involved</w:t>
            </w:r>
          </w:p>
        </w:tc>
      </w:tr>
      <w:tr>
        <w:tc>
          <w:tcPr>
            <w:tcW w:type="dxa" w:w="4320"/>
          </w:tcPr>
          <w:p>
            <w:r>
              <w:t>Requested exception</w:t>
            </w:r>
          </w:p>
        </w:tc>
        <w:tc>
          <w:tcPr>
            <w:tcW w:type="dxa" w:w="4320"/>
          </w:tcPr>
          <w:p>
            <w:r>
              <w:t>Specific Policy requirement from which exception is requested</w:t>
            </w:r>
          </w:p>
        </w:tc>
      </w:tr>
      <w:tr>
        <w:tc>
          <w:tcPr>
            <w:tcW w:type="dxa" w:w="4320"/>
          </w:tcPr>
          <w:p>
            <w:r>
              <w:t>Business justification</w:t>
            </w:r>
          </w:p>
        </w:tc>
        <w:tc>
          <w:tcPr>
            <w:tcW w:type="dxa" w:w="4320"/>
          </w:tcPr>
          <w:p>
            <w:r>
              <w:t>Reason the requirement cannot be met within the required timeframe</w:t>
            </w:r>
          </w:p>
        </w:tc>
      </w:tr>
      <w:tr>
        <w:tc>
          <w:tcPr>
            <w:tcW w:type="dxa" w:w="4320"/>
          </w:tcPr>
          <w:p>
            <w:r>
              <w:t>Risk assessment</w:t>
            </w:r>
          </w:p>
        </w:tc>
        <w:tc>
          <w:tcPr>
            <w:tcW w:type="dxa" w:w="4320"/>
          </w:tcPr>
          <w:p>
            <w:r>
              <w:t>Data protection, legal, operational, security, and reputational risks</w:t>
            </w:r>
          </w:p>
        </w:tc>
      </w:tr>
      <w:tr>
        <w:tc>
          <w:tcPr>
            <w:tcW w:type="dxa" w:w="4320"/>
          </w:tcPr>
          <w:p>
            <w:r>
              <w:t>Compensating controls</w:t>
            </w:r>
          </w:p>
        </w:tc>
        <w:tc>
          <w:tcPr>
            <w:tcW w:type="dxa" w:w="4320"/>
          </w:tcPr>
          <w:p>
            <w:r>
              <w:t>Temporary safeguards to reduce risk</w:t>
            </w:r>
          </w:p>
        </w:tc>
      </w:tr>
      <w:tr>
        <w:tc>
          <w:tcPr>
            <w:tcW w:type="dxa" w:w="4320"/>
          </w:tcPr>
          <w:p>
            <w:r>
              <w:t>Duration</w:t>
            </w:r>
          </w:p>
        </w:tc>
        <w:tc>
          <w:tcPr>
            <w:tcW w:type="dxa" w:w="4320"/>
          </w:tcPr>
          <w:p>
            <w:r>
              <w:t>Requested start date and expiry date</w:t>
            </w:r>
          </w:p>
        </w:tc>
      </w:tr>
      <w:tr>
        <w:tc>
          <w:tcPr>
            <w:tcW w:type="dxa" w:w="4320"/>
          </w:tcPr>
          <w:p>
            <w:r>
              <w:t>Remediation plan</w:t>
            </w:r>
          </w:p>
        </w:tc>
        <w:tc>
          <w:tcPr>
            <w:tcW w:type="dxa" w:w="4320"/>
          </w:tcPr>
          <w:p>
            <w:r>
              <w:t>Actions and timeline to return to full compliance</w:t>
            </w:r>
          </w:p>
        </w:tc>
      </w:tr>
      <w:tr>
        <w:tc>
          <w:tcPr>
            <w:tcW w:type="dxa" w:w="4320"/>
          </w:tcPr>
          <w:p>
            <w:r>
              <w:t>Approvals</w:t>
            </w:r>
          </w:p>
        </w:tc>
        <w:tc>
          <w:tcPr>
            <w:tcW w:type="dxa" w:w="4320"/>
          </w:tcPr>
          <w:p>
            <w:r>
              <w:t>DPO, Legal, Business Owner, and additional approvals where required</w:t>
            </w:r>
          </w:p>
        </w:tc>
      </w:tr>
    </w:tbl>
    <w:p>
      <w:r>
        <w:t>Exceptions shall not be approved where:</w:t>
      </w:r>
    </w:p>
    <w:p>
      <w:pPr>
        <w:pStyle w:val="ListBullet"/>
      </w:pPr>
      <w:r>
        <w:t>The role of the organisation or another party cannot be reasonably determined.</w:t>
      </w:r>
    </w:p>
    <w:p>
      <w:pPr>
        <w:pStyle w:val="ListBullet"/>
      </w:pPr>
      <w:r>
        <w:t>Processing would occur without an appropriate legal basis or valid processing condition.</w:t>
      </w:r>
    </w:p>
    <w:p>
      <w:pPr>
        <w:pStyle w:val="ListBullet"/>
      </w:pPr>
      <w:r>
        <w:t>Individuals would be materially misled about who is responsible for the processing.</w:t>
      </w:r>
    </w:p>
    <w:p>
      <w:pPr>
        <w:pStyle w:val="ListBullet"/>
      </w:pPr>
      <w:r>
        <w:t>A required contract or binding arrangement is absent and cannot be replaced by an approved temporary safeguard.</w:t>
      </w:r>
    </w:p>
    <w:p>
      <w:pPr>
        <w:pStyle w:val="ListBullet"/>
      </w:pPr>
      <w:r>
        <w:t>Sensitive or high-risk personal data would be processed without adequate controls.</w:t>
      </w:r>
    </w:p>
    <w:p>
      <w:pPr>
        <w:pStyle w:val="ListBullet"/>
      </w:pPr>
      <w:r>
        <w:t>Cross-border processing would occur without required assessment and approval.</w:t>
      </w:r>
    </w:p>
    <w:p>
      <w:pPr>
        <w:pStyle w:val="ListBullet"/>
      </w:pPr>
      <w:r>
        <w:t>The exception would prevent the organisation from meeting data subject rights, security, incident, or regulatory obligations.</w:t>
      </w:r>
    </w:p>
    <w:p>
      <w:r>
        <w:t>Approved exceptions shall be recorded in the exception register, assigned an owner, given an expiry date, and reviewed until closure. Expired exceptions shall not be extended without renewed risk assessment and approval.</w:t>
      </w:r>
    </w:p>
    <w:p>
      <w:pPr>
        <w:pStyle w:val="Heading2"/>
      </w:pPr>
      <w:r>
        <w:t>Review &amp; Maintenance</w:t>
      </w:r>
    </w:p>
    <w:p>
      <w:r>
        <w:t>This Policy shall be reviewed at least annually and whenever there is a material change in law, regulatory guidance, organisational structure, processing operations, technology, outsourcing arrangements, or risk profile.</w:t>
      </w:r>
    </w:p>
    <w:p>
      <w:r>
        <w:t>The Data Protection Officer is responsible for coordinating the review and ensuring the Policy remains accurate, practical, and aligned with the organisation’s personal data governance framework.</w:t>
      </w:r>
    </w:p>
    <w:p>
      <w:r>
        <w:t>The review shall consider:</w:t>
      </w:r>
    </w:p>
    <w:p>
      <w:pPr>
        <w:pStyle w:val="ListBullet"/>
      </w:pPr>
      <w:r>
        <w:t>Changes to Saudi personal data protection requirements and regulatory expectations.</w:t>
      </w:r>
    </w:p>
    <w:p>
      <w:pPr>
        <w:pStyle w:val="ListBullet"/>
      </w:pPr>
      <w:r>
        <w:t>Lessons learned from incidents, complaints, data subject requests, audits, and regulatory interactions.</w:t>
      </w:r>
    </w:p>
    <w:p>
      <w:pPr>
        <w:pStyle w:val="ListBullet"/>
      </w:pPr>
      <w:r>
        <w:t>Trends in supplier, partner, customer, and outsourcing arrangements.</w:t>
      </w:r>
    </w:p>
    <w:p>
      <w:pPr>
        <w:pStyle w:val="ListBullet"/>
      </w:pPr>
      <w:r>
        <w:t>Findings from role determination quality reviews.</w:t>
      </w:r>
    </w:p>
    <w:p>
      <w:pPr>
        <w:pStyle w:val="ListBullet"/>
      </w:pPr>
      <w:r>
        <w:t>Changes in business models, systems, analytics, artificial intelligence, marketing, employee monitoring, or cross-border processing.</w:t>
      </w:r>
    </w:p>
    <w:p>
      <w:pPr>
        <w:pStyle w:val="ListBullet"/>
      </w:pPr>
      <w:r>
        <w:t>Feedback from Legal, Privacy, Information Security, Procurement, Internal Audit, and business stakeholders.</w:t>
      </w:r>
    </w:p>
    <w:p>
      <w:r>
        <w:t>Material changes to this Policy shall be approved by [Approving Authority]. 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