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PDPL Applicability Determination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[PDPL-POL-001]</w:t>
            </w:r>
          </w:p>
        </w:tc>
        <w:tc>
          <w:tcPr>
            <w:tcW w:type="dxa" w:w="1440"/>
          </w:tcPr>
          <w:p>
            <w:r>
              <w:t>1.0</w:t>
            </w:r>
          </w:p>
        </w:tc>
        <w:tc>
          <w:tcPr>
            <w:tcW w:type="dxa" w:w="1440"/>
          </w:tcPr>
          <w:p>
            <w:r>
              <w:t>[Privacy Office / Data Protection Officer]</w:t>
            </w:r>
          </w:p>
        </w:tc>
        <w:tc>
          <w:tcPr>
            <w:tcW w:type="dxa" w:w="1440"/>
          </w:tcPr>
          <w:p>
            <w:r>
              <w:t>[Effective Date]</w:t>
            </w:r>
          </w:p>
        </w:tc>
        <w:tc>
          <w:tcPr>
            <w:tcW w:type="dxa" w:w="1440"/>
          </w:tcPr>
          <w:p>
            <w:r>
              <w:t>Saudi Personal Data Protection Law</w:t>
            </w:r>
          </w:p>
        </w:tc>
        <w:tc>
          <w:tcPr>
            <w:tcW w:type="dxa" w:w="1440"/>
          </w:tcPr>
          <w:p>
            <w:r>
              <w:t>Internal</w:t>
            </w:r>
          </w:p>
        </w:tc>
      </w:tr>
    </w:tbl>
    <w:p>
      <w:pPr>
        <w:pStyle w:val="Heading2"/>
      </w:pPr>
      <w:r>
        <w:t>Purpose</w:t>
      </w:r>
    </w:p>
    <w:p>
      <w:r>
        <w:t>This Policy establishes the mandatory requirements for determining whether the Saudi Personal Data Protection Law applies to the Organisation’s activities, systems, products, services, vendors, and business processes.</w:t>
      </w:r>
    </w:p>
    <w:p>
      <w:r>
        <w:t>The purpose of this Policy is to ensure that the Organisation consistently identifies when it is subject to Saudi personal data protection obligations, including where:</w:t>
      </w:r>
    </w:p>
    <w:p>
      <w:pPr>
        <w:pStyle w:val="ListBullet"/>
      </w:pPr>
      <w:r>
        <w:t>the Organisation is established, operates, or processes personal data within the Kingdom of Saudi Arabia;</w:t>
      </w:r>
    </w:p>
    <w:p>
      <w:pPr>
        <w:pStyle w:val="ListBullet"/>
      </w:pPr>
      <w:r>
        <w:t>the Organisation processes personal data relating to individuals located or resident in the Kingdom of Saudi Arabia; or</w:t>
      </w:r>
    </w:p>
    <w:p>
      <w:pPr>
        <w:pStyle w:val="ListBullet"/>
      </w:pPr>
      <w:r>
        <w:t>the Organisation uses third parties, systems, platforms, or service providers to process such personal data on its behalf.</w:t>
      </w:r>
    </w:p>
    <w:p>
      <w:r>
        <w:t>This Policy supports lawful, transparent, and accountable handling of personal data and ensures that applicability decisions are documented, reviewed, and available for audit.</w:t>
      </w:r>
    </w:p>
    <w:p>
      <w:pPr>
        <w:pStyle w:val="Heading2"/>
      </w:pPr>
      <w:r>
        <w:t>Scope</w:t>
      </w:r>
    </w:p>
    <w:p>
      <w:r>
        <w:t>This Policy applies to:</w:t>
      </w:r>
    </w:p>
    <w:p>
      <w:pPr>
        <w:pStyle w:val="ListBullet"/>
      </w:pPr>
      <w:r>
        <w:t>all employees, contractors, temporary staff, secondees, consultants, and third parties acting on behalf of the Organisation;</w:t>
      </w:r>
    </w:p>
    <w:p>
      <w:pPr>
        <w:pStyle w:val="ListBullet"/>
      </w:pPr>
      <w:r>
        <w:t>all business units, subsidiaries, branches, representative offices, and operational functions of the Organisation;</w:t>
      </w:r>
    </w:p>
    <w:p>
      <w:pPr>
        <w:pStyle w:val="ListBullet"/>
      </w:pPr>
      <w:r>
        <w:t>all products, services, applications, platforms, websites, mobile applications, databases, analytics tools, and business processes that collect, store, use, disclose, transfer, archive, or delete personal data;</w:t>
      </w:r>
    </w:p>
    <w:p>
      <w:pPr>
        <w:pStyle w:val="ListBullet"/>
      </w:pPr>
      <w:r>
        <w:t>all processing of personal data performed within the Kingdom of Saudi Arabia;</w:t>
      </w:r>
    </w:p>
    <w:p>
      <w:pPr>
        <w:pStyle w:val="ListBullet"/>
      </w:pPr>
      <w:r>
        <w:t>all processing of personal data relating to individuals who are located in, or residents of, the Kingdom of Saudi Arabia, regardless of where the processing occurs;</w:t>
      </w:r>
    </w:p>
    <w:p>
      <w:pPr>
        <w:pStyle w:val="ListBullet"/>
      </w:pPr>
      <w:r>
        <w:t>all third-party processors, cloud providers, outsourcing providers, consultants, agents, and business partners that process personal data for or with the Organisation.</w:t>
      </w:r>
    </w:p>
    <w:p>
      <w:r>
        <w:t>For this Policy, “personal data” means any data, regardless of its source or form, that may identify an individual directly or indirectly. This includes, but is not limited to, names, identification numbers, contact details, location data, online identifiers, employment records, financial information, health information, biometric data, images, audio recordings, and any combination of information that can identify a person.</w:t>
      </w:r>
    </w:p>
    <w:p>
      <w:r>
        <w:t>This Policy does not replace the Organisation’s broader privacy, data governance, information security, retention, incident management, or third-party risk management requirements. Where those requirements are stricter, the stricter requirement shall apply.</w:t>
      </w:r>
    </w:p>
    <w:p>
      <w:pPr>
        <w:pStyle w:val="Heading2"/>
      </w:pPr>
      <w:r>
        <w:t>Policy Statements</w:t>
      </w:r>
    </w:p>
    <w:p>
      <w:pPr>
        <w:pStyle w:val="ListBullet"/>
      </w:pPr>
      <w:r>
        <w:t>The Organisation shall determine whether Saudi personal data protection requirements apply before launching, changing, acquiring, integrating, or retiring any product, service, system, process, campaign, vendor arrangement, or data-sharing activity involving personal data.</w:t>
      </w:r>
    </w:p>
    <w:p>
      <w:pPr>
        <w:pStyle w:val="ListBullet"/>
      </w:pPr>
      <w:r>
        <w:t>The Organisation shall treat Saudi personal data protection requirements as applicable where the Organisation is established, registered, licensed, operating, or conducting business activities in the Kingdom of Saudi Arabia and processes personal data.</w:t>
      </w:r>
    </w:p>
    <w:p>
      <w:pPr>
        <w:pStyle w:val="ListBullet"/>
      </w:pPr>
      <w:r>
        <w:t>The Organisation shall treat Saudi personal data protection requirements as applicable where personal data is processed within the Kingdom of Saudi Arabia, regardless of the nationality or residence of the individuals concerned.</w:t>
      </w:r>
    </w:p>
    <w:p>
      <w:pPr>
        <w:pStyle w:val="ListBullet"/>
      </w:pPr>
      <w:r>
        <w:t>The Organisation shall treat Saudi personal data protection requirements as applicable where it processes personal data relating to individuals located in the Kingdom of Saudi Arabia, even if the Organisation, system, personnel, or service provider performing the processing is located outside the Kingdom.</w:t>
      </w:r>
    </w:p>
    <w:p>
      <w:pPr>
        <w:pStyle w:val="ListBullet"/>
      </w:pPr>
      <w:r>
        <w:t>The Organisation shall treat Saudi personal data protection requirements as applicable where it processes personal data relating to individuals who are residents of the Kingdom of Saudi Arabia, even if those individuals are temporarily located outside the Kingdom at the time of collection or processing.</w:t>
      </w:r>
    </w:p>
    <w:p>
      <w:pPr>
        <w:pStyle w:val="ListBullet"/>
      </w:pPr>
      <w:r>
        <w:t>The Organisation shall not avoid Saudi personal data protection obligations by outsourcing processing, using offshore systems, engaging overseas vendors, routing data through foreign infrastructure, or using non-Saudi affiliates to perform processing activities.</w:t>
      </w:r>
    </w:p>
    <w:p>
      <w:pPr>
        <w:pStyle w:val="ListBullet"/>
      </w:pPr>
      <w:r>
        <w:t>The Organisation shall assess applicability based on the actual nature of the processing, the individuals affected, the processing location, the business purpose, the service delivery model, and the role of each participating party.</w:t>
      </w:r>
    </w:p>
    <w:p>
      <w:pPr>
        <w:pStyle w:val="ListBullet"/>
      </w:pPr>
      <w:r>
        <w:t>The Organisation shall identify and document whether it acts as a data controller, joint controller, processor, or equivalent role for each processing activity involving personal data within the scope of this Policy.</w:t>
      </w:r>
    </w:p>
    <w:p>
      <w:pPr>
        <w:pStyle w:val="ListBullet"/>
      </w:pPr>
      <w:r>
        <w:t>The Organisation shall maintain an applicability determination record for each relevant processing activity, including the decision, rationale, supporting facts, accountable owner, approval date, and review date.</w:t>
      </w:r>
    </w:p>
    <w:p>
      <w:pPr>
        <w:pStyle w:val="ListBullet"/>
      </w:pPr>
      <w:r>
        <w:t>The Organisation shall include Saudi personal data protection applicability checks in privacy impact assessments, data protection assessments, system design reviews, product approvals, procurement reviews, merger and acquisition due diligence, vendor onboarding, and change management processes.</w:t>
      </w:r>
    </w:p>
    <w:p>
      <w:pPr>
        <w:pStyle w:val="ListBullet"/>
      </w:pPr>
      <w:r>
        <w:t>The Organisation shall apply the following minimum applicability criteria when assessing whether Saudi personal data protection requirements apply:</w:t>
      </w:r>
    </w:p>
    <w:tbl>
      <w:tblPr>
        <w:tblStyle w:val="TableGrid"/>
        <w:tblW w:type="auto" w:w="0"/>
        <w:tblLook w:firstColumn="1" w:firstRow="1" w:lastColumn="0" w:lastRow="0" w:noHBand="0" w:noVBand="1" w:val="04A0"/>
      </w:tblPr>
      <w:tblGrid>
        <w:gridCol w:w="4320"/>
        <w:gridCol w:w="4320"/>
      </w:tblGrid>
      <w:tr>
        <w:tc>
          <w:tcPr>
            <w:tcW w:type="dxa" w:w="4320"/>
          </w:tcPr>
          <w:p>
            <w:r>
              <w:t>Applicability Trigger</w:t>
            </w:r>
          </w:p>
        </w:tc>
        <w:tc>
          <w:tcPr>
            <w:tcW w:type="dxa" w:w="4320"/>
          </w:tcPr>
          <w:p>
            <w:r>
              <w:t>Mandatory Determination</w:t>
            </w:r>
          </w:p>
        </w:tc>
      </w:tr>
      <w:tr>
        <w:tc>
          <w:tcPr>
            <w:tcW w:type="dxa" w:w="4320"/>
          </w:tcPr>
          <w:p>
            <w:r>
              <w:t>The Organisation is established or operating in the Kingdom of Saudi Arabia and processes personal data</w:t>
            </w:r>
          </w:p>
        </w:tc>
        <w:tc>
          <w:tcPr>
            <w:tcW w:type="dxa" w:w="4320"/>
          </w:tcPr>
          <w:p>
            <w:r>
              <w:t>In scope</w:t>
            </w:r>
          </w:p>
        </w:tc>
      </w:tr>
      <w:tr>
        <w:tc>
          <w:tcPr>
            <w:tcW w:type="dxa" w:w="4320"/>
          </w:tcPr>
          <w:p>
            <w:r>
              <w:t>Personal data is collected, stored, accessed, analysed, disclosed, transferred, archived, or deleted in the Kingdom of Saudi Arabia</w:t>
            </w:r>
          </w:p>
        </w:tc>
        <w:tc>
          <w:tcPr>
            <w:tcW w:type="dxa" w:w="4320"/>
          </w:tcPr>
          <w:p>
            <w:r>
              <w:t>In scope</w:t>
            </w:r>
          </w:p>
        </w:tc>
      </w:tr>
      <w:tr>
        <w:tc>
          <w:tcPr>
            <w:tcW w:type="dxa" w:w="4320"/>
          </w:tcPr>
          <w:p>
            <w:r>
              <w:t>The individuals are located in the Kingdom of Saudi Arabia at the time of collection or service delivery</w:t>
            </w:r>
          </w:p>
        </w:tc>
        <w:tc>
          <w:tcPr>
            <w:tcW w:type="dxa" w:w="4320"/>
          </w:tcPr>
          <w:p>
            <w:r>
              <w:t>In scope</w:t>
            </w:r>
          </w:p>
        </w:tc>
      </w:tr>
      <w:tr>
        <w:tc>
          <w:tcPr>
            <w:tcW w:type="dxa" w:w="4320"/>
          </w:tcPr>
          <w:p>
            <w:r>
              <w:t>The individuals are residents of the Kingdom of Saudi Arabia, regardless of where the Organisation processes the data</w:t>
            </w:r>
          </w:p>
        </w:tc>
        <w:tc>
          <w:tcPr>
            <w:tcW w:type="dxa" w:w="4320"/>
          </w:tcPr>
          <w:p>
            <w:r>
              <w:t>In scope</w:t>
            </w:r>
          </w:p>
        </w:tc>
      </w:tr>
      <w:tr>
        <w:tc>
          <w:tcPr>
            <w:tcW w:type="dxa" w:w="4320"/>
          </w:tcPr>
          <w:p>
            <w:r>
              <w:t>A non-Saudi branch, affiliate, platform, or vendor processes personal data on behalf of a Saudi entity or Saudi-facing service</w:t>
            </w:r>
          </w:p>
        </w:tc>
        <w:tc>
          <w:tcPr>
            <w:tcW w:type="dxa" w:w="4320"/>
          </w:tcPr>
          <w:p>
            <w:r>
              <w:t>In scope</w:t>
            </w:r>
          </w:p>
        </w:tc>
      </w:tr>
      <w:tr>
        <w:tc>
          <w:tcPr>
            <w:tcW w:type="dxa" w:w="4320"/>
          </w:tcPr>
          <w:p>
            <w:r>
              <w:t>The service is marketed, offered, delivered, or supported to individuals in the Kingdom of Saudi Arabia</w:t>
            </w:r>
          </w:p>
        </w:tc>
        <w:tc>
          <w:tcPr>
            <w:tcW w:type="dxa" w:w="4320"/>
          </w:tcPr>
          <w:p>
            <w:r>
              <w:t>Presumed in scope unless the Privacy Office approves otherwise</w:t>
            </w:r>
          </w:p>
        </w:tc>
      </w:tr>
      <w:tr>
        <w:tc>
          <w:tcPr>
            <w:tcW w:type="dxa" w:w="4320"/>
          </w:tcPr>
          <w:p>
            <w:r>
              <w:t>The processing involves data received from a Saudi entity, Saudi customer, Saudi regulator, Saudi partner, or Saudi-facing platform</w:t>
            </w:r>
          </w:p>
        </w:tc>
        <w:tc>
          <w:tcPr>
            <w:tcW w:type="dxa" w:w="4320"/>
          </w:tcPr>
          <w:p>
            <w:r>
              <w:t>Presumed in scope unless the Privacy Office approves otherwise</w:t>
            </w:r>
          </w:p>
        </w:tc>
      </w:tr>
      <w:tr>
        <w:tc>
          <w:tcPr>
            <w:tcW w:type="dxa" w:w="4320"/>
          </w:tcPr>
          <w:p>
            <w:r>
              <w:t>The processing involves only anonymised data that cannot reasonably identify an individual</w:t>
            </w:r>
          </w:p>
        </w:tc>
        <w:tc>
          <w:tcPr>
            <w:tcW w:type="dxa" w:w="4320"/>
          </w:tcPr>
          <w:p>
            <w:r>
              <w:t>Out of scope only if anonymisation is validated and documented</w:t>
            </w:r>
          </w:p>
        </w:tc>
      </w:tr>
      <w:tr>
        <w:tc>
          <w:tcPr>
            <w:tcW w:type="dxa" w:w="4320"/>
          </w:tcPr>
          <w:p>
            <w:r>
              <w:t>The processing involves aggregated reporting that cannot reasonably identify an individual</w:t>
            </w:r>
          </w:p>
        </w:tc>
        <w:tc>
          <w:tcPr>
            <w:tcW w:type="dxa" w:w="4320"/>
          </w:tcPr>
          <w:p>
            <w:r>
              <w:t>Out of scope only if re-identification risk is assessed and documented</w:t>
            </w:r>
          </w:p>
        </w:tc>
      </w:tr>
      <w:tr>
        <w:tc>
          <w:tcPr>
            <w:tcW w:type="dxa" w:w="4320"/>
          </w:tcPr>
          <w:p>
            <w:r>
              <w:t>The processing involves business contact information of identifiable individuals in the Kingdom of Saudi Arabia</w:t>
            </w:r>
          </w:p>
        </w:tc>
        <w:tc>
          <w:tcPr>
            <w:tcW w:type="dxa" w:w="4320"/>
          </w:tcPr>
          <w:p>
            <w:r>
              <w:t>In scope</w:t>
            </w:r>
          </w:p>
        </w:tc>
      </w:tr>
      <w:tr>
        <w:tc>
          <w:tcPr>
            <w:tcW w:type="dxa" w:w="4320"/>
          </w:tcPr>
          <w:p>
            <w:r>
              <w:t>The processing involves employees, contractors, applicants, visitors, customers, patients, users, suppliers, or beneficiaries in the Kingdom of Saudi Arabia</w:t>
            </w:r>
          </w:p>
        </w:tc>
        <w:tc>
          <w:tcPr>
            <w:tcW w:type="dxa" w:w="4320"/>
          </w:tcPr>
          <w:p>
            <w:r>
              <w:t>In scope</w:t>
            </w:r>
          </w:p>
        </w:tc>
      </w:tr>
    </w:tbl>
    <w:p>
      <w:pPr>
        <w:pStyle w:val="ListBullet"/>
      </w:pPr>
      <w:r>
        <w:t>The Organisation shall classify a processing activity as “presumed in scope” where facts are incomplete, unclear, disputed, or dependent on future business decisions, until the Privacy Office completes and approves a documented determination.</w:t>
      </w:r>
    </w:p>
    <w:p>
      <w:pPr>
        <w:pStyle w:val="ListBullet"/>
      </w:pPr>
      <w:r>
        <w:t>The Organisation shall not proceed with processing classified as “in scope” or “presumed in scope” unless the relevant privacy requirements have been identified and assigned to accountable owners.</w:t>
      </w:r>
    </w:p>
    <w:p>
      <w:pPr>
        <w:pStyle w:val="ListBullet"/>
      </w:pPr>
      <w:r>
        <w:t>The Organisation shall ensure that business teams do not self-declare Saudi personal data protection requirements as not applicable without Privacy Office review and approval.</w:t>
      </w:r>
    </w:p>
    <w:p>
      <w:pPr>
        <w:pStyle w:val="ListBullet"/>
      </w:pPr>
      <w:r>
        <w:t>The Organisation shall ensure that applicability determinations consider all forms of processing, including collection, recording, organisation, structuring, storage, adaptation, retrieval, consultation, use, disclosure, transmission, publication, combination, restriction, erasure, destruction, monitoring, profiling, analytics, artificial intelligence, and automated decision-making.</w:t>
      </w:r>
    </w:p>
    <w:p>
      <w:pPr>
        <w:pStyle w:val="ListBullet"/>
      </w:pPr>
      <w:r>
        <w:t>The Organisation shall ensure that applicability determinations consider all data environments, including production systems, testing environments, development environments, backups, logs, archives, spreadsheets, collaboration platforms, email, messaging platforms, data lakes, analytics repositories, and third-party portals.</w:t>
      </w:r>
    </w:p>
    <w:p>
      <w:pPr>
        <w:pStyle w:val="ListBullet"/>
      </w:pPr>
      <w:r>
        <w:t>The Organisation shall ensure that personal data relating to individuals in or resident in the Kingdom of Saudi Arabia is not excluded from scope merely because the data was collected indirectly, obtained from a third party, inferred, generated through analytics, or derived from other data.</w:t>
      </w:r>
    </w:p>
    <w:p>
      <w:pPr>
        <w:pStyle w:val="ListBullet"/>
      </w:pPr>
      <w:r>
        <w:t>The Organisation shall require project owners to complete an applicability screening before personal data is collected or received for a new or materially changed activity.</w:t>
      </w:r>
    </w:p>
    <w:p>
      <w:pPr>
        <w:pStyle w:val="ListBullet"/>
      </w:pPr>
      <w:r>
        <w:t>The Organisation shall require procurement owners to complete an applicability screening before engaging any vendor that may process personal data relating to individuals in or resident in the Kingdom of Saudi Arabia.</w:t>
      </w:r>
    </w:p>
    <w:p>
      <w:pPr>
        <w:pStyle w:val="ListBullet"/>
      </w:pPr>
      <w:r>
        <w:t>The Organisation shall require system owners to complete an applicability screening before implementing new systems, integrations, data transfers, cloud services, monitoring tools, tracking technologies, or automated processing capabilities involving personal data.</w:t>
      </w:r>
    </w:p>
    <w:p>
      <w:pPr>
        <w:pStyle w:val="ListBullet"/>
      </w:pPr>
      <w:r>
        <w:t>The Organisation shall require human resources, recruitment, payroll, facilities, travel, and workforce management activities involving employees, contractors, applicants, or visitors in the Kingdom of Saudi Arabia to be treated as in scope.</w:t>
      </w:r>
    </w:p>
    <w:p>
      <w:pPr>
        <w:pStyle w:val="ListBullet"/>
      </w:pPr>
      <w:r>
        <w:t>The Organisation shall require customer, consumer, patient, user, student, citizen, beneficiary, or client data relating to individuals in or resident in the Kingdom of Saudi Arabia to be treated as in scope.</w:t>
      </w:r>
    </w:p>
    <w:p>
      <w:pPr>
        <w:pStyle w:val="ListBullet"/>
      </w:pPr>
      <w:r>
        <w:t>The Organisation shall require marketing, advertising, profiling, behavioural tracking, cookies, pixels, mobile identifiers, loyalty programmes, surveys, call recordings, and social media engagement involving individuals in or resident in the Kingdom of Saudi Arabia to be treated as in scope where identifiable personal data is processed.</w:t>
      </w:r>
    </w:p>
    <w:p>
      <w:pPr>
        <w:pStyle w:val="ListBullet"/>
      </w:pPr>
      <w:r>
        <w:t>The Organisation shall validate any claim that data is anonymous before treating it as outside the scope of Saudi personal data protection requirements.</w:t>
      </w:r>
    </w:p>
    <w:p>
      <w:pPr>
        <w:pStyle w:val="ListBullet"/>
      </w:pPr>
      <w:r>
        <w:t>The Organisation shall not treat pseudonymised, masked, encrypted, tokenised, coded, hashed, or partially redacted data as anonymous where the Organisation or another party can reasonably re-identify an individual.</w:t>
      </w:r>
    </w:p>
    <w:p>
      <w:pPr>
        <w:pStyle w:val="ListBullet"/>
      </w:pPr>
      <w:r>
        <w:t>The Organisation shall ensure that cross-border processing is considered during applicability determination, including where personal data relating to individuals in or resident in the Kingdom of Saudi Arabia is accessed, supported, hosted, stored, analysed, transferred, or backed up outside the Kingdom.</w:t>
      </w:r>
    </w:p>
    <w:p>
      <w:pPr>
        <w:pStyle w:val="ListBullet"/>
      </w:pPr>
      <w:r>
        <w:t>The Organisation shall ensure that contractual arrangements with vendors, affiliates, and partners clearly identify whether personal data relating to individuals in or resident in the Kingdom of Saudi Arabia is processed and which party is responsible for meeting applicable privacy obligations.</w:t>
      </w:r>
    </w:p>
    <w:p>
      <w:pPr>
        <w:pStyle w:val="ListBullet"/>
      </w:pPr>
      <w:r>
        <w:t>The Organisation shall maintain an inventory of in-scope processing activities and ensure it is aligned with records of processing, data flow maps, retention schedules, vendor inventories, transfer records, consent records, and privacy notices.</w:t>
      </w:r>
    </w:p>
    <w:p>
      <w:pPr>
        <w:pStyle w:val="ListBullet"/>
      </w:pPr>
      <w:r>
        <w:t>The Organisation shall re-assess applicability when there is a material change to data subjects, data categories, processing purposes, system architecture, hosting location, vendor involvement, transfer destination, business model, regulatory position, or service geography.</w:t>
      </w:r>
    </w:p>
    <w:p>
      <w:pPr>
        <w:pStyle w:val="ListBullet"/>
      </w:pPr>
      <w:r>
        <w:t>The Organisation shall escalate unresolved applicability questions to the Privacy Office and, where necessary, Legal for formal determination before processing continues or expands.</w:t>
      </w:r>
    </w:p>
    <w:p>
      <w:pPr>
        <w:pStyle w:val="ListBullet"/>
      </w:pPr>
      <w:r>
        <w:t>The Organisation shall retain evidence supporting applicability determinations for the period defined in the Organisation’s record retention schedule and for at least as long as the relevant processing activity remains active.</w:t>
      </w:r>
    </w:p>
    <w:p>
      <w:pPr>
        <w:pStyle w:val="ListBullet"/>
      </w:pPr>
      <w:r>
        <w:t>The Organisation shall ensure that employees and relevant third parties receive appropriate awareness and guidance on when Saudi personal data protection requirements may apply.</w:t>
      </w:r>
    </w:p>
    <w:p>
      <w:pPr>
        <w:pStyle w:val="ListBullet"/>
      </w:pPr>
      <w:r>
        <w:t>The Organisation shall periodically review applicability determinations to ensure that prior decisions remain accurate and defensible.</w:t>
      </w:r>
    </w:p>
    <w:p>
      <w:pPr>
        <w:pStyle w:val="ListBullet"/>
      </w:pPr>
      <w:r>
        <w:t>The Organisation shall ensure that any activity determined to be in scope is subject to the Organisation’s privacy governance requirements, including lawful basis assessment, notice, consent management where required, data subject rights handling, data minimisation, retention, security, breach response, third-party controls, and transfer controls.</w:t>
      </w:r>
    </w:p>
    <w:p>
      <w:pPr>
        <w:pStyle w:val="ListBullet"/>
      </w:pPr>
      <w:r>
        <w:t>The Organisation shall document the outcome of each applicability assessment using the following approved decision 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t>Decision Category</w:t>
            </w:r>
          </w:p>
        </w:tc>
        <w:tc>
          <w:tcPr>
            <w:tcW w:type="dxa" w:w="2880"/>
          </w:tcPr>
          <w:p>
            <w:r>
              <w:t>Meaning</w:t>
            </w:r>
          </w:p>
        </w:tc>
        <w:tc>
          <w:tcPr>
            <w:tcW w:type="dxa" w:w="2880"/>
          </w:tcPr>
          <w:p>
            <w:r>
              <w:t>Required Action</w:t>
            </w:r>
          </w:p>
        </w:tc>
      </w:tr>
      <w:tr>
        <w:tc>
          <w:tcPr>
            <w:tcW w:type="dxa" w:w="2880"/>
          </w:tcPr>
          <w:p>
            <w:r>
              <w:t>In Scope</w:t>
            </w:r>
          </w:p>
        </w:tc>
        <w:tc>
          <w:tcPr>
            <w:tcW w:type="dxa" w:w="2880"/>
          </w:tcPr>
          <w:p>
            <w:r>
              <w:t>Saudi personal data protection requirements apply</w:t>
            </w:r>
          </w:p>
        </w:tc>
        <w:tc>
          <w:tcPr>
            <w:tcW w:type="dxa" w:w="2880"/>
          </w:tcPr>
          <w:p>
            <w:r>
              <w:t>Apply all relevant privacy governance requirements before processing proceeds</w:t>
            </w:r>
          </w:p>
        </w:tc>
      </w:tr>
      <w:tr>
        <w:tc>
          <w:tcPr>
            <w:tcW w:type="dxa" w:w="2880"/>
          </w:tcPr>
          <w:p>
            <w:r>
              <w:t>Presumed In Scope</w:t>
            </w:r>
          </w:p>
        </w:tc>
        <w:tc>
          <w:tcPr>
            <w:tcW w:type="dxa" w:w="2880"/>
          </w:tcPr>
          <w:p>
            <w:r>
              <w:t>Applicability is likely or facts are incomplete</w:t>
            </w:r>
          </w:p>
        </w:tc>
        <w:tc>
          <w:tcPr>
            <w:tcW w:type="dxa" w:w="2880"/>
          </w:tcPr>
          <w:p>
            <w:r>
              <w:t>Treat as in scope until formally resolved</w:t>
            </w:r>
          </w:p>
        </w:tc>
      </w:tr>
      <w:tr>
        <w:tc>
          <w:tcPr>
            <w:tcW w:type="dxa" w:w="2880"/>
          </w:tcPr>
          <w:p>
            <w:r>
              <w:t>Out of Scope</w:t>
            </w:r>
          </w:p>
        </w:tc>
        <w:tc>
          <w:tcPr>
            <w:tcW w:type="dxa" w:w="2880"/>
          </w:tcPr>
          <w:p>
            <w:r>
              <w:t>Saudi personal data protection requirements do not apply based on documented facts</w:t>
            </w:r>
          </w:p>
        </w:tc>
        <w:tc>
          <w:tcPr>
            <w:tcW w:type="dxa" w:w="2880"/>
          </w:tcPr>
          <w:p>
            <w:r>
              <w:t>Retain decision record and reassess upon material change</w:t>
            </w:r>
          </w:p>
        </w:tc>
      </w:tr>
      <w:tr>
        <w:tc>
          <w:tcPr>
            <w:tcW w:type="dxa" w:w="2880"/>
          </w:tcPr>
          <w:p>
            <w:r>
              <w:t>Escalated</w:t>
            </w:r>
          </w:p>
        </w:tc>
        <w:tc>
          <w:tcPr>
            <w:tcW w:type="dxa" w:w="2880"/>
          </w:tcPr>
          <w:p>
            <w:r>
              <w:t>Determination requires Privacy Office and Legal review</w:t>
            </w:r>
          </w:p>
        </w:tc>
        <w:tc>
          <w:tcPr>
            <w:tcW w:type="dxa" w:w="2880"/>
          </w:tcPr>
          <w:p>
            <w:r>
              <w:t>Processing shall not begin or materially expand until a decision is issued</w:t>
            </w:r>
          </w:p>
        </w:tc>
      </w:tr>
      <w:tr>
        <w:tc>
          <w:tcPr>
            <w:tcW w:type="dxa" w:w="2880"/>
          </w:tcPr>
          <w:p>
            <w:r>
              <w:t>Conditional</w:t>
            </w:r>
          </w:p>
        </w:tc>
        <w:tc>
          <w:tcPr>
            <w:tcW w:type="dxa" w:w="2880"/>
          </w:tcPr>
          <w:p>
            <w:r>
              <w:t>Applicability depends on specific controls, assumptions, or business limitations</w:t>
            </w:r>
          </w:p>
        </w:tc>
        <w:tc>
          <w:tcPr>
            <w:tcW w:type="dxa" w:w="2880"/>
          </w:tcPr>
          <w:p>
            <w:r>
              <w:t>Monitor conditions and reassess if they change</w:t>
            </w:r>
          </w:p>
        </w:tc>
      </w:tr>
    </w:tbl>
    <w:p>
      <w:pPr>
        <w:pStyle w:val="ListBullet"/>
      </w:pPr>
      <w:r>
        <w:t>The Organisation shall use the following minimum information when documenting an applicability determination:</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Processing activity name</w:t>
            </w:r>
          </w:p>
        </w:tc>
        <w:tc>
          <w:tcPr>
            <w:tcW w:type="dxa" w:w="4320"/>
          </w:tcPr>
          <w:p>
            <w:r>
              <w:t>Clear name of the activity, system, project, or vendor arrangement</w:t>
            </w:r>
          </w:p>
        </w:tc>
      </w:tr>
      <w:tr>
        <w:tc>
          <w:tcPr>
            <w:tcW w:type="dxa" w:w="4320"/>
          </w:tcPr>
          <w:p>
            <w:r>
              <w:t>Business owner</w:t>
            </w:r>
          </w:p>
        </w:tc>
        <w:tc>
          <w:tcPr>
            <w:tcW w:type="dxa" w:w="4320"/>
          </w:tcPr>
          <w:p>
            <w:r>
              <w:t>Accountable function and named owner</w:t>
            </w:r>
          </w:p>
        </w:tc>
      </w:tr>
      <w:tr>
        <w:tc>
          <w:tcPr>
            <w:tcW w:type="dxa" w:w="4320"/>
          </w:tcPr>
          <w:p>
            <w:r>
              <w:t>Processing purpose</w:t>
            </w:r>
          </w:p>
        </w:tc>
        <w:tc>
          <w:tcPr>
            <w:tcW w:type="dxa" w:w="4320"/>
          </w:tcPr>
          <w:p>
            <w:r>
              <w:t>Business reason for processing the personal data</w:t>
            </w:r>
          </w:p>
        </w:tc>
      </w:tr>
      <w:tr>
        <w:tc>
          <w:tcPr>
            <w:tcW w:type="dxa" w:w="4320"/>
          </w:tcPr>
          <w:p>
            <w:r>
              <w:t>Data subjects</w:t>
            </w:r>
          </w:p>
        </w:tc>
        <w:tc>
          <w:tcPr>
            <w:tcW w:type="dxa" w:w="4320"/>
          </w:tcPr>
          <w:p>
            <w:r>
              <w:t>Categories of individuals whose personal data is processed</w:t>
            </w:r>
          </w:p>
        </w:tc>
      </w:tr>
      <w:tr>
        <w:tc>
          <w:tcPr>
            <w:tcW w:type="dxa" w:w="4320"/>
          </w:tcPr>
          <w:p>
            <w:r>
              <w:t>Data categories</w:t>
            </w:r>
          </w:p>
        </w:tc>
        <w:tc>
          <w:tcPr>
            <w:tcW w:type="dxa" w:w="4320"/>
          </w:tcPr>
          <w:p>
            <w:r>
              <w:t>Types of personal data involved</w:t>
            </w:r>
          </w:p>
        </w:tc>
      </w:tr>
      <w:tr>
        <w:tc>
          <w:tcPr>
            <w:tcW w:type="dxa" w:w="4320"/>
          </w:tcPr>
          <w:p>
            <w:r>
              <w:t>Processing locations</w:t>
            </w:r>
          </w:p>
        </w:tc>
        <w:tc>
          <w:tcPr>
            <w:tcW w:type="dxa" w:w="4320"/>
          </w:tcPr>
          <w:p>
            <w:r>
              <w:t>Countries and locations where data is collected, stored, accessed, used, transferred, supported, or deleted</w:t>
            </w:r>
          </w:p>
        </w:tc>
      </w:tr>
      <w:tr>
        <w:tc>
          <w:tcPr>
            <w:tcW w:type="dxa" w:w="4320"/>
          </w:tcPr>
          <w:p>
            <w:r>
              <w:t>Saudi connection</w:t>
            </w:r>
          </w:p>
        </w:tc>
        <w:tc>
          <w:tcPr>
            <w:tcW w:type="dxa" w:w="4320"/>
          </w:tcPr>
          <w:p>
            <w:r>
              <w:t>Explanation of the connection to the Kingdom of Saudi Arabia or Saudi residents</w:t>
            </w:r>
          </w:p>
        </w:tc>
      </w:tr>
      <w:tr>
        <w:tc>
          <w:tcPr>
            <w:tcW w:type="dxa" w:w="4320"/>
          </w:tcPr>
          <w:p>
            <w:r>
              <w:t>Parties involved</w:t>
            </w:r>
          </w:p>
        </w:tc>
        <w:tc>
          <w:tcPr>
            <w:tcW w:type="dxa" w:w="4320"/>
          </w:tcPr>
          <w:p>
            <w:r>
              <w:t>Internal teams, affiliates, vendors, partners, and other recipients</w:t>
            </w:r>
          </w:p>
        </w:tc>
      </w:tr>
      <w:tr>
        <w:tc>
          <w:tcPr>
            <w:tcW w:type="dxa" w:w="4320"/>
          </w:tcPr>
          <w:p>
            <w:r>
              <w:t>Role assessment</w:t>
            </w:r>
          </w:p>
        </w:tc>
        <w:tc>
          <w:tcPr>
            <w:tcW w:type="dxa" w:w="4320"/>
          </w:tcPr>
          <w:p>
            <w:r>
              <w:t>Controller, joint controller, processor, or equivalent role</w:t>
            </w:r>
          </w:p>
        </w:tc>
      </w:tr>
      <w:tr>
        <w:tc>
          <w:tcPr>
            <w:tcW w:type="dxa" w:w="4320"/>
          </w:tcPr>
          <w:p>
            <w:r>
              <w:t>Decision</w:t>
            </w:r>
          </w:p>
        </w:tc>
        <w:tc>
          <w:tcPr>
            <w:tcW w:type="dxa" w:w="4320"/>
          </w:tcPr>
          <w:p>
            <w:r>
              <w:t>In scope, presumed in scope, out of scope, escalated, or conditional</w:t>
            </w:r>
          </w:p>
        </w:tc>
      </w:tr>
      <w:tr>
        <w:tc>
          <w:tcPr>
            <w:tcW w:type="dxa" w:w="4320"/>
          </w:tcPr>
          <w:p>
            <w:r>
              <w:t>Rationale</w:t>
            </w:r>
          </w:p>
        </w:tc>
        <w:tc>
          <w:tcPr>
            <w:tcW w:type="dxa" w:w="4320"/>
          </w:tcPr>
          <w:p>
            <w:r>
              <w:t>Documented reasoning supporting the decision</w:t>
            </w:r>
          </w:p>
        </w:tc>
      </w:tr>
      <w:tr>
        <w:tc>
          <w:tcPr>
            <w:tcW w:type="dxa" w:w="4320"/>
          </w:tcPr>
          <w:p>
            <w:r>
              <w:t>Conditions or limitations</w:t>
            </w:r>
          </w:p>
        </w:tc>
        <w:tc>
          <w:tcPr>
            <w:tcW w:type="dxa" w:w="4320"/>
          </w:tcPr>
          <w:p>
            <w:r>
              <w:t>Any assumptions, restrictions, or required controls</w:t>
            </w:r>
          </w:p>
        </w:tc>
      </w:tr>
      <w:tr>
        <w:tc>
          <w:tcPr>
            <w:tcW w:type="dxa" w:w="4320"/>
          </w:tcPr>
          <w:p>
            <w:r>
              <w:t>Approver</w:t>
            </w:r>
          </w:p>
        </w:tc>
        <w:tc>
          <w:tcPr>
            <w:tcW w:type="dxa" w:w="4320"/>
          </w:tcPr>
          <w:p>
            <w:r>
              <w:t>Privacy Office approver and date</w:t>
            </w:r>
          </w:p>
        </w:tc>
      </w:tr>
      <w:tr>
        <w:tc>
          <w:tcPr>
            <w:tcW w:type="dxa" w:w="4320"/>
          </w:tcPr>
          <w:p>
            <w:r>
              <w:t>Next review date</w:t>
            </w:r>
          </w:p>
        </w:tc>
        <w:tc>
          <w:tcPr>
            <w:tcW w:type="dxa" w:w="4320"/>
          </w:tcPr>
          <w:p>
            <w:r>
              <w:t>Date for reassessment</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of Directors / Executive Committee</w:t>
            </w:r>
          </w:p>
        </w:tc>
        <w:tc>
          <w:tcPr>
            <w:tcW w:type="dxa" w:w="4320"/>
          </w:tcPr>
          <w:p>
            <w:r>
              <w:t>Provide oversight of privacy governance and ensure sufficient resources are available to support compliance with applicable Saudi personal data protection requirements.</w:t>
            </w:r>
          </w:p>
        </w:tc>
      </w:tr>
      <w:tr>
        <w:tc>
          <w:tcPr>
            <w:tcW w:type="dxa" w:w="4320"/>
          </w:tcPr>
          <w:p>
            <w:r>
              <w:t>Chief Executive Officer / Country Head</w:t>
            </w:r>
          </w:p>
        </w:tc>
        <w:tc>
          <w:tcPr>
            <w:tcW w:type="dxa" w:w="4320"/>
          </w:tcPr>
          <w:p>
            <w:r>
              <w:t>Ensure the Organisation applies this Policy across relevant business operations and supports enforcement of mandatory privacy requirements.</w:t>
            </w:r>
          </w:p>
        </w:tc>
      </w:tr>
      <w:tr>
        <w:tc>
          <w:tcPr>
            <w:tcW w:type="dxa" w:w="4320"/>
          </w:tcPr>
          <w:p>
            <w:r>
              <w:t>Privacy Office / Data Protection Officer</w:t>
            </w:r>
          </w:p>
        </w:tc>
        <w:tc>
          <w:tcPr>
            <w:tcW w:type="dxa" w:w="4320"/>
          </w:tcPr>
          <w:p>
            <w:r>
              <w:t>Own this Policy; define applicability criteria; review and approve applicability determinations; maintain guidance and templates; advise business units; escalate material issues; monitor compliance.</w:t>
            </w:r>
          </w:p>
        </w:tc>
      </w:tr>
      <w:tr>
        <w:tc>
          <w:tcPr>
            <w:tcW w:type="dxa" w:w="4320"/>
          </w:tcPr>
          <w:p>
            <w:r>
              <w:t>Legal Department</w:t>
            </w:r>
          </w:p>
        </w:tc>
        <w:tc>
          <w:tcPr>
            <w:tcW w:type="dxa" w:w="4320"/>
          </w:tcPr>
          <w:p>
            <w:r>
              <w:t>Provide legal interpretation where applicability is complex, disputed, cross-border, contractual, or regulatory in nature; support formal determinations and regulatory engagement.</w:t>
            </w:r>
          </w:p>
        </w:tc>
      </w:tr>
      <w:tr>
        <w:tc>
          <w:tcPr>
            <w:tcW w:type="dxa" w:w="4320"/>
          </w:tcPr>
          <w:p>
            <w:r>
              <w:t>Business Process Owners</w:t>
            </w:r>
          </w:p>
        </w:tc>
        <w:tc>
          <w:tcPr>
            <w:tcW w:type="dxa" w:w="4320"/>
          </w:tcPr>
          <w:p>
            <w:r>
              <w:t>Identify processing activities involving personal data; complete applicability screenings; ensure processing does not begin or materially change without required privacy review; maintain accurate activity records.</w:t>
            </w:r>
          </w:p>
        </w:tc>
      </w:tr>
      <w:tr>
        <w:tc>
          <w:tcPr>
            <w:tcW w:type="dxa" w:w="4320"/>
          </w:tcPr>
          <w:p>
            <w:r>
              <w:t>System Owners</w:t>
            </w:r>
          </w:p>
        </w:tc>
        <w:tc>
          <w:tcPr>
            <w:tcW w:type="dxa" w:w="4320"/>
          </w:tcPr>
          <w:p>
            <w:r>
              <w:t>Identify systems that collect, store, access, transmit, or otherwise process personal data; support data mapping; ensure technical environments reflect approved applicability decisions.</w:t>
            </w:r>
          </w:p>
        </w:tc>
      </w:tr>
      <w:tr>
        <w:tc>
          <w:tcPr>
            <w:tcW w:type="dxa" w:w="4320"/>
          </w:tcPr>
          <w:p>
            <w:r>
              <w:t>Procurement / Vendor Management</w:t>
            </w:r>
          </w:p>
        </w:tc>
        <w:tc>
          <w:tcPr>
            <w:tcW w:type="dxa" w:w="4320"/>
          </w:tcPr>
          <w:p>
            <w:r>
              <w:t>Ensure vendors are screened for Saudi personal data protection applicability before onboarding; include privacy requirements in vendor due diligence and contracts; monitor vendor compliance.</w:t>
            </w:r>
          </w:p>
        </w:tc>
      </w:tr>
      <w:tr>
        <w:tc>
          <w:tcPr>
            <w:tcW w:type="dxa" w:w="4320"/>
          </w:tcPr>
          <w:p>
            <w:r>
              <w:t>Information Security</w:t>
            </w:r>
          </w:p>
        </w:tc>
        <w:tc>
          <w:tcPr>
            <w:tcW w:type="dxa" w:w="4320"/>
          </w:tcPr>
          <w:p>
            <w:r>
              <w:t>Support assessment of systems, access, hosting, data flows, transfer mechanisms, security controls, logging, monitoring, and incident response for in-scope processing.</w:t>
            </w:r>
          </w:p>
        </w:tc>
      </w:tr>
      <w:tr>
        <w:tc>
          <w:tcPr>
            <w:tcW w:type="dxa" w:w="4320"/>
          </w:tcPr>
          <w:p>
            <w:r>
              <w:t>Human Resources</w:t>
            </w:r>
          </w:p>
        </w:tc>
        <w:tc>
          <w:tcPr>
            <w:tcW w:type="dxa" w:w="4320"/>
          </w:tcPr>
          <w:p>
            <w:r>
              <w:t>Ensure employee, contractor, applicant, visitor, and workforce-related processing involving individuals in or resident in the Kingdom of Saudi Arabia is assessed and managed as required.</w:t>
            </w:r>
          </w:p>
        </w:tc>
      </w:tr>
      <w:tr>
        <w:tc>
          <w:tcPr>
            <w:tcW w:type="dxa" w:w="4320"/>
          </w:tcPr>
          <w:p>
            <w:r>
              <w:t>Marketing and Sales</w:t>
            </w:r>
          </w:p>
        </w:tc>
        <w:tc>
          <w:tcPr>
            <w:tcW w:type="dxa" w:w="4320"/>
          </w:tcPr>
          <w:p>
            <w:r>
              <w:t>Ensure campaigns, customer engagement, tracking technologies, lead generation, profiling, and communications involving individuals in or resident in the Kingdom of Saudi Arabia are assessed before launch.</w:t>
            </w:r>
          </w:p>
        </w:tc>
      </w:tr>
      <w:tr>
        <w:tc>
          <w:tcPr>
            <w:tcW w:type="dxa" w:w="4320"/>
          </w:tcPr>
          <w:p>
            <w:r>
              <w:t>Data Governance / Records Management</w:t>
            </w:r>
          </w:p>
        </w:tc>
        <w:tc>
          <w:tcPr>
            <w:tcW w:type="dxa" w:w="4320"/>
          </w:tcPr>
          <w:p>
            <w:r>
              <w:t>Maintain alignment between applicability determinations, data inventories, retention schedules, data classification, and records of processing.</w:t>
            </w:r>
          </w:p>
        </w:tc>
      </w:tr>
      <w:tr>
        <w:tc>
          <w:tcPr>
            <w:tcW w:type="dxa" w:w="4320"/>
          </w:tcPr>
          <w:p>
            <w:r>
              <w:t>Project Management Office / Change Management</w:t>
            </w:r>
          </w:p>
        </w:tc>
        <w:tc>
          <w:tcPr>
            <w:tcW w:type="dxa" w:w="4320"/>
          </w:tcPr>
          <w:p>
            <w:r>
              <w:t>Embed applicability screening into project initiation, design review, change approval, and release governance.</w:t>
            </w:r>
          </w:p>
        </w:tc>
      </w:tr>
      <w:tr>
        <w:tc>
          <w:tcPr>
            <w:tcW w:type="dxa" w:w="4320"/>
          </w:tcPr>
          <w:p>
            <w:r>
              <w:t>Internal Audit</w:t>
            </w:r>
          </w:p>
        </w:tc>
        <w:tc>
          <w:tcPr>
            <w:tcW w:type="dxa" w:w="4320"/>
          </w:tcPr>
          <w:p>
            <w:r>
              <w:t>Independently assess the design and operating effectiveness of this Policy and related controls as part of the audit plan.</w:t>
            </w:r>
          </w:p>
        </w:tc>
      </w:tr>
      <w:tr>
        <w:tc>
          <w:tcPr>
            <w:tcW w:type="dxa" w:w="4320"/>
          </w:tcPr>
          <w:p>
            <w:r>
              <w:t>Employees, Contractors, and Third Parties</w:t>
            </w:r>
          </w:p>
        </w:tc>
        <w:tc>
          <w:tcPr>
            <w:tcW w:type="dxa" w:w="4320"/>
          </w:tcPr>
          <w:p>
            <w:r>
              <w:t>Follow this Policy; report new or changed processing activities; seek guidance where applicability is uncertain; comply with approved privacy requirements.</w:t>
            </w:r>
          </w:p>
        </w:tc>
      </w:tr>
    </w:tbl>
    <w:p>
      <w:pPr>
        <w:pStyle w:val="Heading2"/>
      </w:pPr>
      <w:r>
        <w:t>Compliance, Monitoring &amp; Enforcement</w:t>
      </w:r>
    </w:p>
    <w:p>
      <w:r>
        <w:t>Compliance with this Policy is mandatory.</w:t>
      </w:r>
    </w:p>
    <w:p>
      <w:r>
        <w:t>The Privacy Office shall monitor implementation of this Policy through periodic reviews, sampling, privacy assessments, project gate checks, vendor onboarding reviews, data inventory validation, and control testing.</w:t>
      </w:r>
    </w:p>
    <w:p>
      <w:r>
        <w:t>The Organisation shall maintain evidence demonstrating that applicability decisions are timely, accurate, approved, and periodically reviewed. Evidence may include completed screening forms, assessment records, data flow diagrams, system inventories, vendor due diligence records, meeting minutes, approvals, risk acceptances, and remediation plans.</w:t>
      </w:r>
    </w:p>
    <w:p>
      <w:r>
        <w:t>The following monitoring activities shall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Owner</w:t>
            </w:r>
          </w:p>
        </w:tc>
        <w:tc>
          <w:tcPr>
            <w:tcW w:type="dxa" w:w="2160"/>
          </w:tcPr>
          <w:p>
            <w:r>
              <w:t>Evidence</w:t>
            </w:r>
          </w:p>
        </w:tc>
      </w:tr>
      <w:tr>
        <w:tc>
          <w:tcPr>
            <w:tcW w:type="dxa" w:w="2160"/>
          </w:tcPr>
          <w:p>
            <w:r>
              <w:t>Review of new processing activity screenings</w:t>
            </w:r>
          </w:p>
        </w:tc>
        <w:tc>
          <w:tcPr>
            <w:tcW w:type="dxa" w:w="2160"/>
          </w:tcPr>
          <w:p>
            <w:r>
              <w:t>Ongoing</w:t>
            </w:r>
          </w:p>
        </w:tc>
        <w:tc>
          <w:tcPr>
            <w:tcW w:type="dxa" w:w="2160"/>
          </w:tcPr>
          <w:p>
            <w:r>
              <w:t>Privacy Office</w:t>
            </w:r>
          </w:p>
        </w:tc>
        <w:tc>
          <w:tcPr>
            <w:tcW w:type="dxa" w:w="2160"/>
          </w:tcPr>
          <w:p>
            <w:r>
              <w:t>Approved screening records</w:t>
            </w:r>
          </w:p>
        </w:tc>
      </w:tr>
      <w:tr>
        <w:tc>
          <w:tcPr>
            <w:tcW w:type="dxa" w:w="2160"/>
          </w:tcPr>
          <w:p>
            <w:r>
              <w:t>Sampling of applicability determinations</w:t>
            </w:r>
          </w:p>
        </w:tc>
        <w:tc>
          <w:tcPr>
            <w:tcW w:type="dxa" w:w="2160"/>
          </w:tcPr>
          <w:p>
            <w:r>
              <w:t>Quarterly</w:t>
            </w:r>
          </w:p>
        </w:tc>
        <w:tc>
          <w:tcPr>
            <w:tcW w:type="dxa" w:w="2160"/>
          </w:tcPr>
          <w:p>
            <w:r>
              <w:t>Privacy Office</w:t>
            </w:r>
          </w:p>
        </w:tc>
        <w:tc>
          <w:tcPr>
            <w:tcW w:type="dxa" w:w="2160"/>
          </w:tcPr>
          <w:p>
            <w:r>
              <w:t>Sample results and action log</w:t>
            </w:r>
          </w:p>
        </w:tc>
      </w:tr>
      <w:tr>
        <w:tc>
          <w:tcPr>
            <w:tcW w:type="dxa" w:w="2160"/>
          </w:tcPr>
          <w:p>
            <w:r>
              <w:t>Review of vendor onboarding for Saudi personal data applicability</w:t>
            </w:r>
          </w:p>
        </w:tc>
        <w:tc>
          <w:tcPr>
            <w:tcW w:type="dxa" w:w="2160"/>
          </w:tcPr>
          <w:p>
            <w:r>
              <w:t>Quarterly</w:t>
            </w:r>
          </w:p>
        </w:tc>
        <w:tc>
          <w:tcPr>
            <w:tcW w:type="dxa" w:w="2160"/>
          </w:tcPr>
          <w:p>
            <w:r>
              <w:t>Procurement / Privacy Office</w:t>
            </w:r>
          </w:p>
        </w:tc>
        <w:tc>
          <w:tcPr>
            <w:tcW w:type="dxa" w:w="2160"/>
          </w:tcPr>
          <w:p>
            <w:r>
              <w:t>Vendor review records</w:t>
            </w:r>
          </w:p>
        </w:tc>
      </w:tr>
      <w:tr>
        <w:tc>
          <w:tcPr>
            <w:tcW w:type="dxa" w:w="2160"/>
          </w:tcPr>
          <w:p>
            <w:r>
              <w:t>Reconciliation of applicability decisions with data inventory</w:t>
            </w:r>
          </w:p>
        </w:tc>
        <w:tc>
          <w:tcPr>
            <w:tcW w:type="dxa" w:w="2160"/>
          </w:tcPr>
          <w:p>
            <w:r>
              <w:t>Semi-annually</w:t>
            </w:r>
          </w:p>
        </w:tc>
        <w:tc>
          <w:tcPr>
            <w:tcW w:type="dxa" w:w="2160"/>
          </w:tcPr>
          <w:p>
            <w:r>
              <w:t>Data Governance / Privacy Office</w:t>
            </w:r>
          </w:p>
        </w:tc>
        <w:tc>
          <w:tcPr>
            <w:tcW w:type="dxa" w:w="2160"/>
          </w:tcPr>
          <w:p>
            <w:r>
              <w:t>Reconciliation report</w:t>
            </w:r>
          </w:p>
        </w:tc>
      </w:tr>
      <w:tr>
        <w:tc>
          <w:tcPr>
            <w:tcW w:type="dxa" w:w="2160"/>
          </w:tcPr>
          <w:p>
            <w:r>
              <w:t>Review of high-risk or cross-border processing activities</w:t>
            </w:r>
          </w:p>
        </w:tc>
        <w:tc>
          <w:tcPr>
            <w:tcW w:type="dxa" w:w="2160"/>
          </w:tcPr>
          <w:p>
            <w:r>
              <w:t>Semi-annually</w:t>
            </w:r>
          </w:p>
        </w:tc>
        <w:tc>
          <w:tcPr>
            <w:tcW w:type="dxa" w:w="2160"/>
          </w:tcPr>
          <w:p>
            <w:r>
              <w:t>Privacy Office / Legal</w:t>
            </w:r>
          </w:p>
        </w:tc>
        <w:tc>
          <w:tcPr>
            <w:tcW w:type="dxa" w:w="2160"/>
          </w:tcPr>
          <w:p>
            <w:r>
              <w:t>Assessment records</w:t>
            </w:r>
          </w:p>
        </w:tc>
      </w:tr>
      <w:tr>
        <w:tc>
          <w:tcPr>
            <w:tcW w:type="dxa" w:w="2160"/>
          </w:tcPr>
          <w:p>
            <w:r>
              <w:t>Policy compliance assessment</w:t>
            </w:r>
          </w:p>
        </w:tc>
        <w:tc>
          <w:tcPr>
            <w:tcW w:type="dxa" w:w="2160"/>
          </w:tcPr>
          <w:p>
            <w:r>
              <w:t>Annually</w:t>
            </w:r>
          </w:p>
        </w:tc>
        <w:tc>
          <w:tcPr>
            <w:tcW w:type="dxa" w:w="2160"/>
          </w:tcPr>
          <w:p>
            <w:r>
              <w:t>Privacy Office</w:t>
            </w:r>
          </w:p>
        </w:tc>
        <w:tc>
          <w:tcPr>
            <w:tcW w:type="dxa" w:w="2160"/>
          </w:tcPr>
          <w:p>
            <w:r>
              <w:t>Compliance report</w:t>
            </w:r>
          </w:p>
        </w:tc>
      </w:tr>
      <w:tr>
        <w:tc>
          <w:tcPr>
            <w:tcW w:type="dxa" w:w="2160"/>
          </w:tcPr>
          <w:p>
            <w:r>
              <w:t>Independent audit review</w:t>
            </w:r>
          </w:p>
        </w:tc>
        <w:tc>
          <w:tcPr>
            <w:tcW w:type="dxa" w:w="2160"/>
          </w:tcPr>
          <w:p>
            <w:r>
              <w:t>As scheduled in the audit plan</w:t>
            </w:r>
          </w:p>
        </w:tc>
        <w:tc>
          <w:tcPr>
            <w:tcW w:type="dxa" w:w="2160"/>
          </w:tcPr>
          <w:p>
            <w:r>
              <w:t>Internal Audit</w:t>
            </w:r>
          </w:p>
        </w:tc>
        <w:tc>
          <w:tcPr>
            <w:tcW w:type="dxa" w:w="2160"/>
          </w:tcPr>
          <w:p>
            <w:r>
              <w:t>Audit report and management actions</w:t>
            </w:r>
          </w:p>
        </w:tc>
      </w:tr>
    </w:tbl>
    <w:p>
      <w:r>
        <w:t>Non-compliance with this Policy may result in disciplinary action, contract remedies, access restrictions, suspension of processing, project delays, vendor remediation, termination of vendor relationships, or escalation to executive management.</w:t>
      </w:r>
    </w:p>
    <w:p>
      <w:r>
        <w:t>Examples of non-compliance include:</w:t>
      </w:r>
    </w:p>
    <w:p>
      <w:pPr>
        <w:pStyle w:val="ListBullet"/>
      </w:pPr>
      <w:r>
        <w:t>launching a product, service, system, or campaign without completing required applicability screening;</w:t>
      </w:r>
    </w:p>
    <w:p>
      <w:pPr>
        <w:pStyle w:val="ListBullet"/>
      </w:pPr>
      <w:r>
        <w:t>incorrectly declaring an activity out of scope without Privacy Office approval;</w:t>
      </w:r>
    </w:p>
    <w:p>
      <w:pPr>
        <w:pStyle w:val="ListBullet"/>
      </w:pPr>
      <w:r>
        <w:t>failing to disclose that personal data relates to individuals in or resident in the Kingdom of Saudi Arabia;</w:t>
      </w:r>
    </w:p>
    <w:p>
      <w:pPr>
        <w:pStyle w:val="ListBullet"/>
      </w:pPr>
      <w:r>
        <w:t>using vendors or offshore teams to process in-scope personal data without appropriate review;</w:t>
      </w:r>
    </w:p>
    <w:p>
      <w:pPr>
        <w:pStyle w:val="ListBullet"/>
      </w:pPr>
      <w:r>
        <w:t>failing to update an applicability determination after a material change;</w:t>
      </w:r>
    </w:p>
    <w:p>
      <w:pPr>
        <w:pStyle w:val="ListBullet"/>
      </w:pPr>
      <w:r>
        <w:t>treating pseudonymised or encrypted personal data as anonymous without validation;</w:t>
      </w:r>
    </w:p>
    <w:p>
      <w:pPr>
        <w:pStyle w:val="ListBullet"/>
      </w:pPr>
      <w:r>
        <w:t>refusing to provide records or evidence needed for assessment or audit.</w:t>
      </w:r>
    </w:p>
    <w:p>
      <w:r>
        <w:t>Where a breach of this Policy creates privacy, legal, regulatory, contractual, operational, or reputational risk, the matter shall be escalated to the Privacy Office, Legal, Information Security, and senior management as appropriate.</w:t>
      </w:r>
    </w:p>
    <w:p>
      <w:pPr>
        <w:pStyle w:val="Heading2"/>
      </w:pPr>
      <w:r>
        <w:t>Exceptions</w:t>
      </w:r>
    </w:p>
    <w:p>
      <w:r>
        <w:t>Exceptions to this Policy are not permitted unless formally approved in writing by the Privacy Office and Legal.</w:t>
      </w:r>
    </w:p>
    <w:p>
      <w:r>
        <w:t>An exception shall only be considered where:</w:t>
      </w:r>
    </w:p>
    <w:p>
      <w:pPr>
        <w:pStyle w:val="ListBullet"/>
      </w:pPr>
      <w:r>
        <w:t>the business need is clearly documented;</w:t>
      </w:r>
    </w:p>
    <w:p>
      <w:pPr>
        <w:pStyle w:val="ListBullet"/>
      </w:pPr>
      <w:r>
        <w:t>the risk has been assessed and recorded;</w:t>
      </w:r>
    </w:p>
    <w:p>
      <w:pPr>
        <w:pStyle w:val="ListBullet"/>
      </w:pPr>
      <w:r>
        <w:t>compensating controls are defined;</w:t>
      </w:r>
    </w:p>
    <w:p>
      <w:pPr>
        <w:pStyle w:val="ListBullet"/>
      </w:pPr>
      <w:r>
        <w:t>the exception does not conflict with mandatory legal obligations;</w:t>
      </w:r>
    </w:p>
    <w:p>
      <w:pPr>
        <w:pStyle w:val="ListBullet"/>
      </w:pPr>
      <w:r>
        <w:t>an accountable executive accepts the residual risk;</w:t>
      </w:r>
    </w:p>
    <w:p>
      <w:pPr>
        <w:pStyle w:val="ListBullet"/>
      </w:pPr>
      <w:r>
        <w:t>the exception is time-bound and subject to review.</w:t>
      </w:r>
    </w:p>
    <w:p>
      <w:r>
        <w:t>Exception requests shall include, at minimum:</w:t>
      </w:r>
    </w:p>
    <w:tbl>
      <w:tblPr>
        <w:tblStyle w:val="TableGrid"/>
        <w:tblW w:type="auto" w:w="0"/>
        <w:tblLook w:firstColumn="1" w:firstRow="1" w:lastColumn="0" w:lastRow="0" w:noHBand="0" w:noVBand="1" w:val="04A0"/>
      </w:tblPr>
      <w:tblGrid>
        <w:gridCol w:w="4320"/>
        <w:gridCol w:w="4320"/>
      </w:tblGrid>
      <w:tr>
        <w:tc>
          <w:tcPr>
            <w:tcW w:type="dxa" w:w="4320"/>
          </w:tcPr>
          <w:p>
            <w:r>
              <w:t>Required Field</w:t>
            </w:r>
          </w:p>
        </w:tc>
        <w:tc>
          <w:tcPr>
            <w:tcW w:type="dxa" w:w="4320"/>
          </w:tcPr>
          <w:p>
            <w:r>
              <w:t>Description</w:t>
            </w:r>
          </w:p>
        </w:tc>
      </w:tr>
      <w:tr>
        <w:tc>
          <w:tcPr>
            <w:tcW w:type="dxa" w:w="4320"/>
          </w:tcPr>
          <w:p>
            <w:r>
              <w:t>Requestor</w:t>
            </w:r>
          </w:p>
        </w:tc>
        <w:tc>
          <w:tcPr>
            <w:tcW w:type="dxa" w:w="4320"/>
          </w:tcPr>
          <w:p>
            <w:r>
              <w:t>Name, role, and business unit of the person requesting the exception</w:t>
            </w:r>
          </w:p>
        </w:tc>
      </w:tr>
      <w:tr>
        <w:tc>
          <w:tcPr>
            <w:tcW w:type="dxa" w:w="4320"/>
          </w:tcPr>
          <w:p>
            <w:r>
              <w:t>Processing activity</w:t>
            </w:r>
          </w:p>
        </w:tc>
        <w:tc>
          <w:tcPr>
            <w:tcW w:type="dxa" w:w="4320"/>
          </w:tcPr>
          <w:p>
            <w:r>
              <w:t>Activity, system, vendor, or process affected</w:t>
            </w:r>
          </w:p>
        </w:tc>
      </w:tr>
      <w:tr>
        <w:tc>
          <w:tcPr>
            <w:tcW w:type="dxa" w:w="4320"/>
          </w:tcPr>
          <w:p>
            <w:r>
              <w:t>Exception requested</w:t>
            </w:r>
          </w:p>
        </w:tc>
        <w:tc>
          <w:tcPr>
            <w:tcW w:type="dxa" w:w="4320"/>
          </w:tcPr>
          <w:p>
            <w:r>
              <w:t>Specific requirement from this Policy that cannot be met</w:t>
            </w:r>
          </w:p>
        </w:tc>
      </w:tr>
      <w:tr>
        <w:tc>
          <w:tcPr>
            <w:tcW w:type="dxa" w:w="4320"/>
          </w:tcPr>
          <w:p>
            <w:r>
              <w:t>Business justification</w:t>
            </w:r>
          </w:p>
        </w:tc>
        <w:tc>
          <w:tcPr>
            <w:tcW w:type="dxa" w:w="4320"/>
          </w:tcPr>
          <w:p>
            <w:r>
              <w:t>Reason the exception is required</w:t>
            </w:r>
          </w:p>
        </w:tc>
      </w:tr>
      <w:tr>
        <w:tc>
          <w:tcPr>
            <w:tcW w:type="dxa" w:w="4320"/>
          </w:tcPr>
          <w:p>
            <w:r>
              <w:t>Personal data involved</w:t>
            </w:r>
          </w:p>
        </w:tc>
        <w:tc>
          <w:tcPr>
            <w:tcW w:type="dxa" w:w="4320"/>
          </w:tcPr>
          <w:p>
            <w:r>
              <w:t>Data subjects and data categories affected</w:t>
            </w:r>
          </w:p>
        </w:tc>
      </w:tr>
      <w:tr>
        <w:tc>
          <w:tcPr>
            <w:tcW w:type="dxa" w:w="4320"/>
          </w:tcPr>
          <w:p>
            <w:r>
              <w:t>Saudi connection</w:t>
            </w:r>
          </w:p>
        </w:tc>
        <w:tc>
          <w:tcPr>
            <w:tcW w:type="dxa" w:w="4320"/>
          </w:tcPr>
          <w:p>
            <w:r>
              <w:t>Description of any link to the Kingdom of Saudi Arabia or Saudi residents</w:t>
            </w:r>
          </w:p>
        </w:tc>
      </w:tr>
      <w:tr>
        <w:tc>
          <w:tcPr>
            <w:tcW w:type="dxa" w:w="4320"/>
          </w:tcPr>
          <w:p>
            <w:r>
              <w:t>Risk assessment</w:t>
            </w:r>
          </w:p>
        </w:tc>
        <w:tc>
          <w:tcPr>
            <w:tcW w:type="dxa" w:w="4320"/>
          </w:tcPr>
          <w:p>
            <w:r>
              <w:t>Privacy, legal, security, operational, and reputational risks</w:t>
            </w:r>
          </w:p>
        </w:tc>
      </w:tr>
      <w:tr>
        <w:tc>
          <w:tcPr>
            <w:tcW w:type="dxa" w:w="4320"/>
          </w:tcPr>
          <w:p>
            <w:r>
              <w:t>Compensating controls</w:t>
            </w:r>
          </w:p>
        </w:tc>
        <w:tc>
          <w:tcPr>
            <w:tcW w:type="dxa" w:w="4320"/>
          </w:tcPr>
          <w:p>
            <w:r>
              <w:t>Measures to reduce risk during the exception period</w:t>
            </w:r>
          </w:p>
        </w:tc>
      </w:tr>
      <w:tr>
        <w:tc>
          <w:tcPr>
            <w:tcW w:type="dxa" w:w="4320"/>
          </w:tcPr>
          <w:p>
            <w:r>
              <w:t>Duration</w:t>
            </w:r>
          </w:p>
        </w:tc>
        <w:tc>
          <w:tcPr>
            <w:tcW w:type="dxa" w:w="4320"/>
          </w:tcPr>
          <w:p>
            <w:r>
              <w:t>Start date and end date of the requested exception</w:t>
            </w:r>
          </w:p>
        </w:tc>
      </w:tr>
      <w:tr>
        <w:tc>
          <w:tcPr>
            <w:tcW w:type="dxa" w:w="4320"/>
          </w:tcPr>
          <w:p>
            <w:r>
              <w:t>Approvals</w:t>
            </w:r>
          </w:p>
        </w:tc>
        <w:tc>
          <w:tcPr>
            <w:tcW w:type="dxa" w:w="4320"/>
          </w:tcPr>
          <w:p>
            <w:r>
              <w:t>Privacy Office, Legal, business owner, and accountable executive approvals</w:t>
            </w:r>
          </w:p>
        </w:tc>
      </w:tr>
    </w:tbl>
    <w:p>
      <w:r>
        <w:t>Exceptions shall be reviewed at least monthly until closure unless a shorter review period is required by the approver. Expired exceptions shall not be treated as approved. Permanent exceptions are not permitted.</w:t>
      </w:r>
    </w:p>
    <w:p>
      <w:r>
        <w:t>Where an exception request relates to whether Saudi personal data protection requirements apply, the processing shall be treated as presumed in scope until a formal determination is approved.</w:t>
      </w:r>
    </w:p>
    <w:p>
      <w:pPr>
        <w:pStyle w:val="Heading2"/>
      </w:pPr>
      <w:r>
        <w:t>Review &amp; Maintenance</w:t>
      </w:r>
    </w:p>
    <w:p>
      <w:r>
        <w:t>The Privacy Office shall review this Policy at least annually and whenever there is a material change in law, regulatory guidance, Organisation structure, processing activities, technology, service geography, vendor model, or risk environment.</w:t>
      </w:r>
    </w:p>
    <w:p>
      <w:r>
        <w:t>This Policy shall also be reviewed following:</w:t>
      </w:r>
    </w:p>
    <w:p>
      <w:pPr>
        <w:pStyle w:val="ListBullet"/>
      </w:pPr>
      <w:r>
        <w:t>entry into or exit from operations in the Kingdom of Saudi Arabia;</w:t>
      </w:r>
    </w:p>
    <w:p>
      <w:pPr>
        <w:pStyle w:val="ListBullet"/>
      </w:pPr>
      <w:r>
        <w:t>launch of new Saudi-facing products, services, platforms, or campaigns;</w:t>
      </w:r>
    </w:p>
    <w:p>
      <w:pPr>
        <w:pStyle w:val="ListBullet"/>
      </w:pPr>
      <w:r>
        <w:t>significant changes to customer, employee, user, or resident populations;</w:t>
      </w:r>
    </w:p>
    <w:p>
      <w:pPr>
        <w:pStyle w:val="ListBullet"/>
      </w:pPr>
      <w:r>
        <w:t>material changes in hosting, support, access, or data transfer locations;</w:t>
      </w:r>
    </w:p>
    <w:p>
      <w:pPr>
        <w:pStyle w:val="ListBullet"/>
      </w:pPr>
      <w:r>
        <w:t>major acquisitions, divestitures, restructures, or outsourcing arrangements;</w:t>
      </w:r>
    </w:p>
    <w:p>
      <w:pPr>
        <w:pStyle w:val="ListBullet"/>
      </w:pPr>
      <w:r>
        <w:t>privacy incidents, audit findings, regulatory inquiries, or significant control failures;</w:t>
      </w:r>
    </w:p>
    <w:p>
      <w:pPr>
        <w:pStyle w:val="ListBullet"/>
      </w:pPr>
      <w:r>
        <w:t>changes to data governance, third-party risk, information security, or records management processes that affect applicability determinations.</w:t>
      </w:r>
    </w:p>
    <w:p>
      <w:r>
        <w:t>Policy updates shall be approved by [Approving Authority] before publication. Superseded versions shall be retained in accordance with the Organisation’s record retention requirements.</w:t>
      </w:r>
    </w:p>
    <w:p>
      <w:r>
        <w:t>The Policy owner shall ensure that current versions of this Policy, related templates, and guidance are available to relevant personnel through [Policy Repository / Intranet Location]. Training and awareness materials shall be updated where policy changes affect employee or third-party responsibilities.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