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Incident Tickets &amp; Post-Mortems</w:t>
      </w:r>
    </w:p>
    <w:p>
      <w:pPr>
        <w:pStyle w:val="Heading2"/>
      </w:pPr>
      <w:r>
        <w:t>What This Evidences</w:t>
      </w:r>
    </w:p>
    <w:p>
      <w:r>
        <w:t>Incident Tickets &amp; Post-Mortems evidence that [Organization Name] identifies, tracks, responds to, resolves, and reviews security incidents in a controlled and repeatable manner. For SOC 2 control CC7.4, this record demonstrates that potential and confirmed security incidents are investigated, assigned, escalated where necessary, remediated, and reviewed for lessons learned.</w:t>
      </w:r>
    </w:p>
    <w:p>
      <w:r>
        <w:t>This artifact is collected, not authored. Do not create a standalone document to satisfy this evidence request. Collect the actual operational records from [ITSM/Ticketing System], [Incident Management Platform], [SIEM/Log Management Platform], and any associated post-incident review documentation used by the organization.</w:t>
      </w:r>
    </w:p>
    <w:p>
      <w:pPr>
        <w:pStyle w:val="Heading2"/>
      </w:pPr>
      <w:r>
        <w:t>Where To Collect It From</w:t>
      </w:r>
    </w:p>
    <w:p>
      <w:r>
        <w:t>Collect records from the systems where incident response activity is actually managed, such as:</w:t>
      </w:r>
    </w:p>
    <w:p>
      <w:pPr>
        <w:pStyle w:val="ListBullet"/>
      </w:pPr>
      <w:r>
        <w:t>ITSM or ticketing system: [Jira Service Management / ServiceNow / Zendesk / Freshservice / Other]</w:t>
      </w:r>
    </w:p>
    <w:p>
      <w:pPr>
        <w:pStyle w:val="ListBullet"/>
      </w:pPr>
      <w:r>
        <w:t>Incident management platform: [PagerDuty / Opsgenie / FireHydrant / Rootly / Other]</w:t>
      </w:r>
    </w:p>
    <w:p>
      <w:pPr>
        <w:pStyle w:val="ListBullet"/>
      </w:pPr>
      <w:r>
        <w:t>Security monitoring system: [SIEM Tool / EDR Console / Cloud Security Platform]</w:t>
      </w:r>
    </w:p>
    <w:p>
      <w:pPr>
        <w:pStyle w:val="ListBullet"/>
      </w:pPr>
      <w:r>
        <w:t>Documentation or knowledge base: [Confluence / SharePoint / Google Drive / Notion / Other]</w:t>
      </w:r>
    </w:p>
    <w:p>
      <w:pPr>
        <w:pStyle w:val="ListBullet"/>
      </w:pPr>
      <w:r>
        <w:t>Communications archive, if used for incident coordination: [Slack / Microsoft Teams / Email]</w:t>
      </w:r>
    </w:p>
    <w:p>
      <w:r>
        <w:t>The primary source should be the system of record for incidents, typically [ITSM/Ticketing System] or [Incident Management Platform].</w:t>
      </w:r>
    </w:p>
    <w:p>
      <w:pPr>
        <w:pStyle w:val="Heading2"/>
      </w:pPr>
      <w:r>
        <w:t>How To Collect</w:t>
      </w:r>
    </w:p>
    <w:p>
      <w:pPr>
        <w:pStyle w:val="ListBullet"/>
      </w:pPr>
      <w:r>
        <w:t>Log in to [ITSM/Ticketing System] or [Incident Management Platform] using an account with read access to incident records.</w:t>
      </w:r>
    </w:p>
    <w:p>
      <w:pPr>
        <w:pStyle w:val="ListBullet"/>
      </w:pPr>
      <w:r>
        <w:t>Filter records for the audit period: [Start Date] to [End Date].</w:t>
      </w:r>
    </w:p>
    <w:p>
      <w:pPr>
        <w:pStyle w:val="ListBullet"/>
      </w:pPr>
      <w:r>
        <w:t>Apply filters for security-related incidents, such as:</w:t>
      </w:r>
    </w:p>
    <w:p>
      <w:pPr>
        <w:pStyle w:val="ListBullet"/>
      </w:pPr>
      <w:r>
        <w:t>Type/category: Security Incident, Security Event, Privacy Incident, Data Incident</w:t>
      </w:r>
    </w:p>
    <w:p>
      <w:pPr>
        <w:pStyle w:val="ListBullet"/>
      </w:pPr>
      <w:r>
        <w:t>Priority/severity: [Severity Levels Used]</w:t>
      </w:r>
    </w:p>
    <w:p>
      <w:pPr>
        <w:pStyle w:val="ListBullet"/>
      </w:pPr>
      <w:r>
        <w:t>Assignment group: [Security Team / SOC / IT Operations]</w:t>
      </w:r>
    </w:p>
    <w:p>
      <w:pPr>
        <w:pStyle w:val="ListBullet"/>
      </w:pPr>
      <w:r>
        <w:t>Export the filtered incident list to CSV, XLSX, or PDF.</w:t>
      </w:r>
    </w:p>
    <w:p>
      <w:pPr>
        <w:pStyle w:val="ListBullet"/>
      </w:pPr>
      <w:r>
        <w:t>For a representative sample, open each selected ticket and export or save the full ticket detail.</w:t>
      </w:r>
    </w:p>
    <w:p>
      <w:pPr>
        <w:pStyle w:val="ListBullet"/>
      </w:pPr>
      <w:r>
        <w:t>Collect linked evidence referenced in the ticket, such as SIEM alerts, EDR detections, investigation notes, containment actions, change records, and closure approvals.</w:t>
      </w:r>
    </w:p>
    <w:p>
      <w:pPr>
        <w:pStyle w:val="ListBullet"/>
      </w:pPr>
      <w:r>
        <w:t>For incidents requiring review, collect the associated post-mortem, after-action review, or lessons-learned record from [Documentation Platform].</w:t>
      </w:r>
    </w:p>
    <w:p>
      <w:pPr>
        <w:pStyle w:val="ListBullet"/>
      </w:pPr>
      <w:r>
        <w:t>Save all exports and supporting files to the audit evidence location: [Evidence Repository Path].</w:t>
      </w:r>
    </w:p>
    <w:p>
      <w:pPr>
        <w:pStyle w:val="ListBullet"/>
      </w:pPr>
      <w:r>
        <w:t>Ensure file names include the audit period and collection date, for example: incident-tickets-postmortems-[YYYY-MM-DD].pdf.</w:t>
      </w:r>
    </w:p>
    <w:p>
      <w:pPr>
        <w:pStyle w:val="Heading2"/>
      </w:pPr>
      <w:r>
        <w:t>What To Capture</w:t>
      </w:r>
    </w:p>
    <w:p>
      <w:r>
        <w:t>Capture enough detail to show the incident lifecycle from detection through closure. Include:</w:t>
      </w:r>
    </w:p>
    <w:p>
      <w:pPr>
        <w:pStyle w:val="ListBullet"/>
      </w:pPr>
      <w:r>
        <w:t>Incident/ticket ID</w:t>
      </w:r>
    </w:p>
    <w:p>
      <w:pPr>
        <w:pStyle w:val="ListBullet"/>
      </w:pPr>
      <w:r>
        <w:t>Title or summary</w:t>
      </w:r>
    </w:p>
    <w:p>
      <w:pPr>
        <w:pStyle w:val="ListBullet"/>
      </w:pPr>
      <w:r>
        <w:t>Date and time opened</w:t>
      </w:r>
    </w:p>
    <w:p>
      <w:pPr>
        <w:pStyle w:val="ListBullet"/>
      </w:pPr>
      <w:r>
        <w:t>Detection source, such as SIEM alert, user report, EDR alert, vendor notification, or monitoring dashboard</w:t>
      </w:r>
    </w:p>
    <w:p>
      <w:pPr>
        <w:pStyle w:val="ListBullet"/>
      </w:pPr>
      <w:r>
        <w:t>Incident category/type</w:t>
      </w:r>
    </w:p>
    <w:p>
      <w:pPr>
        <w:pStyle w:val="ListBullet"/>
      </w:pPr>
      <w:r>
        <w:t>Severity or priority</w:t>
      </w:r>
    </w:p>
    <w:p>
      <w:pPr>
        <w:pStyle w:val="ListBullet"/>
      </w:pPr>
      <w:r>
        <w:t>Assigned owner/team</w:t>
      </w:r>
    </w:p>
    <w:p>
      <w:pPr>
        <w:pStyle w:val="ListBullet"/>
      </w:pPr>
      <w:r>
        <w:t>Timeline of investigation and response activity</w:t>
      </w:r>
    </w:p>
    <w:p>
      <w:pPr>
        <w:pStyle w:val="ListBullet"/>
      </w:pPr>
      <w:r>
        <w:t>Impact assessment, including affected systems, users, data, or services</w:t>
      </w:r>
    </w:p>
    <w:p>
      <w:pPr>
        <w:pStyle w:val="ListBullet"/>
      </w:pPr>
      <w:r>
        <w:t>Containment, eradication, and recovery actions</w:t>
      </w:r>
    </w:p>
    <w:p>
      <w:pPr>
        <w:pStyle w:val="ListBullet"/>
      </w:pPr>
      <w:r>
        <w:t>Escalations and approvals, if applicable</w:t>
      </w:r>
    </w:p>
    <w:p>
      <w:pPr>
        <w:pStyle w:val="ListBullet"/>
      </w:pPr>
      <w:r>
        <w:t>Communications or stakeholder notifications, if applicable</w:t>
      </w:r>
    </w:p>
    <w:p>
      <w:pPr>
        <w:pStyle w:val="ListBullet"/>
      </w:pPr>
      <w:r>
        <w:t>Root cause or suspected cause</w:t>
      </w:r>
    </w:p>
    <w:p>
      <w:pPr>
        <w:pStyle w:val="ListBullet"/>
      </w:pPr>
      <w:r>
        <w:t>Closure date and closure rationale</w:t>
      </w:r>
    </w:p>
    <w:p>
      <w:pPr>
        <w:pStyle w:val="ListBullet"/>
      </w:pPr>
      <w:r>
        <w:t>Linked alerts, logs, screenshots, or forensic notes</w:t>
      </w:r>
    </w:p>
    <w:p>
      <w:pPr>
        <w:pStyle w:val="ListBullet"/>
      </w:pPr>
      <w:r>
        <w:t>Post-mortem or lessons learned, where applicable</w:t>
      </w:r>
    </w:p>
    <w:p>
      <w:pPr>
        <w:pStyle w:val="ListBullet"/>
      </w:pPr>
      <w:r>
        <w:t>Corrective actions, follow-up tasks, and their completion status</w:t>
      </w:r>
    </w:p>
    <w:p>
      <w:pPr>
        <w:pStyle w:val="Heading2"/>
      </w:pPr>
      <w:r>
        <w:t>Frequency &amp; Owner</w:t>
      </w:r>
    </w:p>
    <w:p>
      <w:pPr>
        <w:pStyle w:val="ListBullet"/>
      </w:pPr>
      <w:r>
        <w:t>Collection frequency: At least quarterly for audit readiness, and additionally at the end of the SOC 2 review period.</w:t>
      </w:r>
    </w:p>
    <w:p>
      <w:pPr>
        <w:pStyle w:val="ListBullet"/>
      </w:pPr>
      <w:r>
        <w:t>Operational update frequency: Incident tickets should be updated throughout the incident lifecycle.</w:t>
      </w:r>
    </w:p>
    <w:p>
      <w:pPr>
        <w:pStyle w:val="ListBullet"/>
      </w:pPr>
      <w:r>
        <w:t>Owner: [Security Operations Manager / Incident Response Lead / IT Operations Manager].</w:t>
      </w:r>
    </w:p>
    <w:p>
      <w:pPr>
        <w:pStyle w:val="ListBullet"/>
      </w:pPr>
      <w:r>
        <w:t>Evidence collector: [GRC Owner / Compliance Manager / Security Analyst].</w:t>
      </w:r>
    </w:p>
    <w:p>
      <w:pPr>
        <w:pStyle w:val="Heading2"/>
      </w:pPr>
      <w:r>
        <w:t>Retention &amp; Storage</w:t>
      </w:r>
    </w:p>
    <w:p>
      <w:r>
        <w:t>Store exported evidence in [Evidence Repository] with access limited to [Security], [GRC], and authorized audit stakeholders. Retain incident tickets, post-mortems, and supporting evidence for at least [Retention Period], or longer if required by customer, legal, contractual, or regulatory obligations.</w:t>
      </w:r>
    </w:p>
    <w:p>
      <w:r>
        <w:t>Preserve records in a read-only or access-controlled location to prevent alteration. Do not delete, overwrite, or modify source incident records after collection.</w:t>
      </w:r>
    </w:p>
    <w:p>
      <w:pPr>
        <w:pStyle w:val="Heading2"/>
      </w:pPr>
      <w:r>
        <w:t>Acceptance Criteria</w:t>
      </w:r>
    </w:p>
    <w:p>
      <w:r>
        <w:t>An auditor will typically accept this evidence if it shows:</w:t>
      </w:r>
    </w:p>
    <w:p>
      <w:pPr>
        <w:pStyle w:val="ListBullet"/>
      </w:pPr>
      <w:r>
        <w:t>Actual incident records from the organization’s operational systems, not manually recreated summaries</w:t>
      </w:r>
    </w:p>
    <w:p>
      <w:pPr>
        <w:pStyle w:val="ListBullet"/>
      </w:pPr>
      <w:r>
        <w:t>Coverage of the SOC 2 review period</w:t>
      </w:r>
    </w:p>
    <w:p>
      <w:pPr>
        <w:pStyle w:val="ListBullet"/>
      </w:pPr>
      <w:r>
        <w:t>Clear linkage between detected events and tracked incident response activity</w:t>
      </w:r>
    </w:p>
    <w:p>
      <w:pPr>
        <w:pStyle w:val="ListBullet"/>
      </w:pPr>
      <w:r>
        <w:t>Assigned ownership and documented investigation steps</w:t>
      </w:r>
    </w:p>
    <w:p>
      <w:pPr>
        <w:pStyle w:val="ListBullet"/>
      </w:pPr>
      <w:r>
        <w:t>Evidence of containment, remediation, recovery, and closure</w:t>
      </w:r>
    </w:p>
    <w:p>
      <w:pPr>
        <w:pStyle w:val="ListBullet"/>
      </w:pPr>
      <w:r>
        <w:t>Severity or priority classification</w:t>
      </w:r>
    </w:p>
    <w:p>
      <w:pPr>
        <w:pStyle w:val="ListBullet"/>
      </w:pPr>
      <w:r>
        <w:t>Timely updates and resolution activity</w:t>
      </w:r>
    </w:p>
    <w:p>
      <w:pPr>
        <w:pStyle w:val="ListBullet"/>
      </w:pPr>
      <w:r>
        <w:t>Post-mortems or lessons learned for significant incidents</w:t>
      </w:r>
    </w:p>
    <w:p>
      <w:pPr>
        <w:pStyle w:val="ListBullet"/>
      </w:pPr>
      <w:r>
        <w:t>Follow-up corrective actions tracked to completion or documented as in progress</w:t>
      </w:r>
    </w:p>
    <w:p>
      <w:pPr>
        <w:pStyle w:val="ListBullet"/>
      </w:pPr>
      <w:r>
        <w:t>Exported records with timestamps, ticket IDs, system source, and sufficient detail to verify authenticity and completeness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