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Audit ITGC Test Workpapers</w:t>
      </w:r>
    </w:p>
    <w:p>
      <w:pPr>
        <w:pStyle w:val="Heading2"/>
      </w:pPr>
      <w:r>
        <w:t>What This Evidences</w:t>
      </w:r>
    </w:p>
    <w:p>
      <w:r>
        <w:t>Internal Audit ITGC Test Workpapers evidence the internal audit team’s independent testing of the design and operating effectiveness of SOX IT general controls supporting financial reporting. This includes testing over access management, change management, computer operations, job scheduling, backups, incident handling, and privileged access, as applicable to the in-scope systems.</w:t>
      </w:r>
    </w:p>
    <w:p>
      <w:r>
        <w:t>This artifact is collected, not authored as a standalone policy or narrative. The workpapers must be obtained from the organisation’s audit management platform, internal audit repository, or approved evidence storage location where actual test procedures, samples, results, exceptions, and reviewer approvals are maintained.</w:t>
      </w:r>
    </w:p>
    <w:p>
      <w:pPr>
        <w:pStyle w:val="Heading2"/>
      </w:pPr>
      <w:r>
        <w:t>Where To Collect It From</w:t>
      </w:r>
    </w:p>
    <w:p>
      <w:r>
        <w:t>Collect from the organisation’s official internal audit evidence sources, typically:</w:t>
      </w:r>
    </w:p>
    <w:p>
      <w:pPr>
        <w:pStyle w:val="ListBullet"/>
      </w:pPr>
      <w:r>
        <w:t>Audit management system: [Audit Management Tool]</w:t>
      </w:r>
    </w:p>
    <w:p>
      <w:pPr>
        <w:pStyle w:val="ListBullet"/>
      </w:pPr>
      <w:r>
        <w:t>GRC platform: [GRC Platform]</w:t>
      </w:r>
    </w:p>
    <w:p>
      <w:pPr>
        <w:pStyle w:val="ListBullet"/>
      </w:pPr>
      <w:r>
        <w:t>Internal audit SharePoint or document repository: [Repository Name]</w:t>
      </w:r>
    </w:p>
    <w:p>
      <w:pPr>
        <w:pStyle w:val="ListBullet"/>
      </w:pPr>
      <w:r>
        <w:t>SOX testing workspace or audit binder: [SOX Workspace]</w:t>
      </w:r>
    </w:p>
    <w:p>
      <w:pPr>
        <w:pStyle w:val="ListBullet"/>
      </w:pPr>
      <w:r>
        <w:t>Workpaper management tool: [Workpaper Tool]</w:t>
      </w:r>
    </w:p>
    <w:p>
      <w:pPr>
        <w:pStyle w:val="ListBullet"/>
      </w:pPr>
      <w:r>
        <w:t>Supporting source systems referenced by the workpapers, where needed:</w:t>
      </w:r>
    </w:p>
    <w:p>
      <w:pPr>
        <w:pStyle w:val="ListBullet"/>
      </w:pPr>
      <w:r>
        <w:t>ITSM/change ticketing: [ITSM Tool]</w:t>
      </w:r>
    </w:p>
    <w:p>
      <w:pPr>
        <w:pStyle w:val="ListBullet"/>
      </w:pPr>
      <w:r>
        <w:t>Identity and access management: [IAM Tool]</w:t>
      </w:r>
    </w:p>
    <w:p>
      <w:pPr>
        <w:pStyle w:val="ListBullet"/>
      </w:pPr>
      <w:r>
        <w:t>Privileged access management: [PAM Tool]</w:t>
      </w:r>
    </w:p>
    <w:p>
      <w:pPr>
        <w:pStyle w:val="ListBullet"/>
      </w:pPr>
      <w:r>
        <w:t>SIEM/log management: [SIEM Tool]</w:t>
      </w:r>
    </w:p>
    <w:p>
      <w:pPr>
        <w:pStyle w:val="ListBullet"/>
      </w:pPr>
      <w:r>
        <w:t>Backup or job scheduling console: [Operations Tool]</w:t>
      </w:r>
    </w:p>
    <w:p>
      <w:pPr>
        <w:pStyle w:val="Heading2"/>
      </w:pPr>
      <w:r>
        <w:t>How To Collect</w:t>
      </w:r>
    </w:p>
    <w:p>
      <w:pPr>
        <w:pStyle w:val="ListBullet"/>
      </w:pPr>
      <w:r>
        <w:t>Confirm the audit period and in-scope SOX applications, infrastructure, databases, and ITGC controls with [SOX Owner/Internal Audit Lead].</w:t>
      </w:r>
    </w:p>
    <w:p>
      <w:pPr>
        <w:pStyle w:val="ListBullet"/>
      </w:pPr>
      <w:r>
        <w:t>Log in to [Audit Management Tool] or [SOX Workspace] using an account with read-only evidence access.</w:t>
      </w:r>
    </w:p>
    <w:p>
      <w:pPr>
        <w:pStyle w:val="ListBullet"/>
      </w:pPr>
      <w:r>
        <w:t>Navigate to the relevant audit engagement, such as [FY YYYY SOX ITGC Testing].</w:t>
      </w:r>
    </w:p>
    <w:p>
      <w:pPr>
        <w:pStyle w:val="ListBullet"/>
      </w:pPr>
      <w:r>
        <w:t>Filter or search for ITGC workpapers by control area, system, process owner, or control ID used internally by the organisation.</w:t>
      </w:r>
    </w:p>
    <w:p>
      <w:pPr>
        <w:pStyle w:val="ListBullet"/>
      </w:pPr>
      <w:r>
        <w:t>Export or download the completed workpaper package for each in-scope ITGC, including:</w:t>
      </w:r>
    </w:p>
    <w:p>
      <w:pPr>
        <w:pStyle w:val="ListBullet"/>
      </w:pPr>
      <w:r>
        <w:t>Test plan or test script</w:t>
      </w:r>
    </w:p>
    <w:p>
      <w:pPr>
        <w:pStyle w:val="ListBullet"/>
      </w:pPr>
      <w:r>
        <w:t>Population used for testing</w:t>
      </w:r>
    </w:p>
    <w:p>
      <w:pPr>
        <w:pStyle w:val="ListBullet"/>
      </w:pPr>
      <w:r>
        <w:t>Sample selection</w:t>
      </w:r>
    </w:p>
    <w:p>
      <w:pPr>
        <w:pStyle w:val="ListBullet"/>
      </w:pPr>
      <w:r>
        <w:t>Evidence examined</w:t>
      </w:r>
    </w:p>
    <w:p>
      <w:pPr>
        <w:pStyle w:val="ListBullet"/>
      </w:pPr>
      <w:r>
        <w:t>Test results</w:t>
      </w:r>
    </w:p>
    <w:p>
      <w:pPr>
        <w:pStyle w:val="ListBullet"/>
      </w:pPr>
      <w:r>
        <w:t>Exception details</w:t>
      </w:r>
    </w:p>
    <w:p>
      <w:pPr>
        <w:pStyle w:val="ListBullet"/>
      </w:pPr>
      <w:r>
        <w:t>Reviewer sign-off</w:t>
      </w:r>
    </w:p>
    <w:p>
      <w:pPr>
        <w:pStyle w:val="ListBullet"/>
      </w:pPr>
      <w:r>
        <w:t>Where workpapers link to external evidence, open the referenced ticket, report, log extract, access listing, or screenshot in the source system and export it if it is not already embedded.</w:t>
      </w:r>
    </w:p>
    <w:p>
      <w:pPr>
        <w:pStyle w:val="ListBullet"/>
      </w:pPr>
      <w:r>
        <w:t>Confirm that each file includes preparer and reviewer information, testing dates, conclusion, and any remediation status.</w:t>
      </w:r>
    </w:p>
    <w:p>
      <w:pPr>
        <w:pStyle w:val="ListBullet"/>
      </w:pPr>
      <w:r>
        <w:t>Save the collected package to the approved SOX evidence repository using the organisation’s naming convention.</w:t>
      </w:r>
    </w:p>
    <w:p>
      <w:pPr>
        <w:pStyle w:val="ListBullet"/>
      </w:pPr>
      <w:r>
        <w:t>Record the collection date, collector name, audit period, source system, and file location in the evidence tracker.</w:t>
      </w:r>
    </w:p>
    <w:p>
      <w:pPr>
        <w:pStyle w:val="Heading2"/>
      </w:pPr>
      <w:r>
        <w:t>What To Capture</w:t>
      </w:r>
    </w:p>
    <w:p>
      <w:r>
        <w:t>Capture enough detail to show both design and operating effectiveness testing, including:</w:t>
      </w:r>
    </w:p>
    <w:p>
      <w:pPr>
        <w:pStyle w:val="ListBullet"/>
      </w:pPr>
      <w:r>
        <w:t>Audit engagement name and fiscal year or testing period</w:t>
      </w:r>
    </w:p>
    <w:p>
      <w:pPr>
        <w:pStyle w:val="ListBullet"/>
      </w:pPr>
      <w:r>
        <w:t>Control name and internal control identifier</w:t>
      </w:r>
    </w:p>
    <w:p>
      <w:pPr>
        <w:pStyle w:val="ListBullet"/>
      </w:pPr>
      <w:r>
        <w:t>In-scope system, application, database, platform, or infrastructure component</w:t>
      </w:r>
    </w:p>
    <w:p>
      <w:pPr>
        <w:pStyle w:val="ListBullet"/>
      </w:pPr>
      <w:r>
        <w:t>Control objective or risk addressed</w:t>
      </w:r>
    </w:p>
    <w:p>
      <w:pPr>
        <w:pStyle w:val="ListBullet"/>
      </w:pPr>
      <w:r>
        <w:t>Test procedure performed</w:t>
      </w:r>
    </w:p>
    <w:p>
      <w:pPr>
        <w:pStyle w:val="ListBullet"/>
      </w:pPr>
      <w:r>
        <w:t>Population definition and source</w:t>
      </w:r>
    </w:p>
    <w:p>
      <w:pPr>
        <w:pStyle w:val="ListBullet"/>
      </w:pPr>
      <w:r>
        <w:t>Population report or listing with extraction date</w:t>
      </w:r>
    </w:p>
    <w:p>
      <w:pPr>
        <w:pStyle w:val="ListBullet"/>
      </w:pPr>
      <w:r>
        <w:t>Sample selection methodology and selected items</w:t>
      </w:r>
    </w:p>
    <w:p>
      <w:pPr>
        <w:pStyle w:val="ListBullet"/>
      </w:pPr>
      <w:r>
        <w:t>Evidence reviewed for each sample</w:t>
      </w:r>
    </w:p>
    <w:p>
      <w:pPr>
        <w:pStyle w:val="ListBullet"/>
      </w:pPr>
      <w:r>
        <w:t>Test result for each sample item</w:t>
      </w:r>
    </w:p>
    <w:p>
      <w:pPr>
        <w:pStyle w:val="ListBullet"/>
      </w:pPr>
      <w:r>
        <w:t>Pass/fail conclusion for each control</w:t>
      </w:r>
    </w:p>
    <w:p>
      <w:pPr>
        <w:pStyle w:val="ListBullet"/>
      </w:pPr>
      <w:r>
        <w:t>Identified exceptions, root cause, impact, and remediation status</w:t>
      </w:r>
    </w:p>
    <w:p>
      <w:pPr>
        <w:pStyle w:val="ListBullet"/>
      </w:pPr>
      <w:r>
        <w:t>Management response, if applicable</w:t>
      </w:r>
    </w:p>
    <w:p>
      <w:pPr>
        <w:pStyle w:val="ListBullet"/>
      </w:pPr>
      <w:r>
        <w:t>Retest evidence, if applicable</w:t>
      </w:r>
    </w:p>
    <w:p>
      <w:pPr>
        <w:pStyle w:val="ListBullet"/>
      </w:pPr>
      <w:r>
        <w:t>Preparer name and preparation date</w:t>
      </w:r>
    </w:p>
    <w:p>
      <w:pPr>
        <w:pStyle w:val="ListBullet"/>
      </w:pPr>
      <w:r>
        <w:t>Reviewer name, review date, and approval status</w:t>
      </w:r>
    </w:p>
    <w:p>
      <w:pPr>
        <w:pStyle w:val="ListBullet"/>
      </w:pPr>
      <w:r>
        <w:t>Version history or audit trail from [Audit Management Tool]</w:t>
      </w:r>
    </w:p>
    <w:p>
      <w:pPr>
        <w:pStyle w:val="Heading2"/>
      </w:pPr>
      <w:r>
        <w:t>Frequency &amp; Owner</w:t>
      </w:r>
    </w:p>
    <w:p>
      <w:pPr>
        <w:pStyle w:val="ListBullet"/>
      </w:pPr>
      <w:r>
        <w:t>Frequency: At least annually for SOX year-end testing, with interim and roll-forward testing where applicable.</w:t>
      </w:r>
    </w:p>
    <w:p>
      <w:pPr>
        <w:pStyle w:val="ListBullet"/>
      </w:pPr>
      <w:r>
        <w:t>Owner: Internal Audit or SOX Compliance team.</w:t>
      </w:r>
    </w:p>
    <w:p>
      <w:pPr>
        <w:pStyle w:val="ListBullet"/>
      </w:pPr>
      <w:r>
        <w:t>Evidence collector: [SOX PMO/Evidence Coordinator].</w:t>
      </w:r>
    </w:p>
    <w:p>
      <w:pPr>
        <w:pStyle w:val="ListBullet"/>
      </w:pPr>
      <w:r>
        <w:t>Review owner: [Internal Audit Manager] or [SOX ITGC Lead].</w:t>
      </w:r>
    </w:p>
    <w:p>
      <w:pPr>
        <w:pStyle w:val="ListBullet"/>
      </w:pPr>
      <w:r>
        <w:t>Control owners provide supporting evidence but should not alter internal audit workpapers.</w:t>
      </w:r>
    </w:p>
    <w:p>
      <w:pPr>
        <w:pStyle w:val="Heading2"/>
      </w:pPr>
      <w:r>
        <w:t>Retention &amp; Storage</w:t>
      </w:r>
    </w:p>
    <w:p>
      <w:r>
        <w:t>Store collected workpapers in the approved SOX evidence repository: [SOX Evidence Repository].</w:t>
      </w:r>
    </w:p>
    <w:p>
      <w:r>
        <w:t>Retention should align with the organisation’s SOX audit retention policy and legal hold requirements. Access must be restricted to Internal Audit, SOX Compliance, External Audit, and authorised control owners where appropriate.</w:t>
      </w:r>
    </w:p>
    <w:p>
      <w:r>
        <w:t>Maintain files in read-only format where possible. Preserve system-generated timestamps, approval history, and audit trails. Do not overwrite prior versions; retain superseded files with clear version labels.</w:t>
      </w:r>
    </w:p>
    <w:p>
      <w:pPr>
        <w:pStyle w:val="Heading2"/>
      </w:pPr>
      <w:r>
        <w:t>Acceptance Criteria</w:t>
      </w:r>
    </w:p>
    <w:p>
      <w:r>
        <w:t>Auditors generally accept the evidence as sufficient when:</w:t>
      </w:r>
    </w:p>
    <w:p>
      <w:pPr>
        <w:pStyle w:val="ListBullet"/>
      </w:pPr>
      <w:r>
        <w:t>Workpapers are collected from the official audit or GRC system, not recreated manually.</w:t>
      </w:r>
    </w:p>
    <w:p>
      <w:pPr>
        <w:pStyle w:val="ListBullet"/>
      </w:pPr>
      <w:r>
        <w:t>The testing period clearly matches the SOX audit period under review.</w:t>
      </w:r>
    </w:p>
    <w:p>
      <w:pPr>
        <w:pStyle w:val="ListBullet"/>
      </w:pPr>
      <w:r>
        <w:t>Each in-scope ITGC has a completed test procedure and documented conclusion.</w:t>
      </w:r>
    </w:p>
    <w:p>
      <w:pPr>
        <w:pStyle w:val="ListBullet"/>
      </w:pPr>
      <w:r>
        <w:t>Population and sample evidence are traceable to authoritative source systems.</w:t>
      </w:r>
    </w:p>
    <w:p>
      <w:pPr>
        <w:pStyle w:val="ListBullet"/>
      </w:pPr>
      <w:r>
        <w:t>Test results support both design and operating effectiveness conclusions.</w:t>
      </w:r>
    </w:p>
    <w:p>
      <w:pPr>
        <w:pStyle w:val="ListBullet"/>
      </w:pPr>
      <w:r>
        <w:t>Exceptions are clearly documented, evaluated, and remediated or risk-accepted.</w:t>
      </w:r>
    </w:p>
    <w:p>
      <w:pPr>
        <w:pStyle w:val="ListBullet"/>
      </w:pPr>
      <w:r>
        <w:t>Preparer and independent reviewer sign-offs are present.</w:t>
      </w:r>
    </w:p>
    <w:p>
      <w:pPr>
        <w:pStyle w:val="ListBullet"/>
      </w:pPr>
      <w:r>
        <w:t>Dates, systems, control owners, and sample details are complete and consistent.</w:t>
      </w:r>
    </w:p>
    <w:p>
      <w:pPr>
        <w:pStyle w:val="ListBullet"/>
      </w:pPr>
      <w:r>
        <w:t>Evidence is retained in an approved repository with restricted access and version control.</w:t>
      </w:r>
    </w:p>
    <w:p>
      <w:pPr>
        <w:pStyle w:val="ListBullet"/>
      </w:pPr>
      <w:r>
        <w:t>The package can be re-performed or traced from workpaper to source evidence without unsupported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