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C3 - Data Mgmt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C3 - Data Mgmt Policy</w:t>
            </w:r>
          </w:p>
        </w:tc>
        <w:tc>
          <w:tcPr>
            <w:tcW w:type="dxa" w:w="1440"/>
          </w:tcPr>
          <w:p>
            <w:r>
              <w:t>1.0</w:t>
            </w:r>
          </w:p>
        </w:tc>
        <w:tc>
          <w:tcPr>
            <w:tcW w:type="dxa" w:w="1440"/>
          </w:tcPr>
          <w:p>
            <w:r>
              <w:t>[Data Governance Owner]</w:t>
            </w:r>
          </w:p>
        </w:tc>
        <w:tc>
          <w:tcPr>
            <w:tcW w:type="dxa" w:w="1440"/>
          </w:tcPr>
          <w:p>
            <w:r>
              <w:t>[Effective Date]</w:t>
            </w:r>
          </w:p>
        </w:tc>
        <w:tc>
          <w:tcPr>
            <w:tcW w:type="dxa" w:w="1440"/>
          </w:tcPr>
          <w:p>
            <w:r>
              <w:t>CIS Controls v8</w:t>
            </w:r>
          </w:p>
        </w:tc>
        <w:tc>
          <w:tcPr>
            <w:tcW w:type="dxa" w:w="1440"/>
          </w:tcPr>
          <w:p>
            <w:r>
              <w:t>Internal</w:t>
            </w:r>
          </w:p>
        </w:tc>
      </w:tr>
    </w:tbl>
    <w:p>
      <w:pPr>
        <w:pStyle w:val="Heading2"/>
      </w:pPr>
      <w:r>
        <w:t>Purpose</w:t>
      </w:r>
    </w:p>
    <w:p>
      <w:r>
        <w:t>This policy establishes mandatory requirements for the classification, handling, retention, protection, and secure disposal of organisational data. It ensures that data is managed according to its business value, sensitivity, legal obligations, and risk to the organisation.</w:t>
      </w:r>
    </w:p>
    <w:p>
      <w:r>
        <w:t>The objectives of this policy are to:</w:t>
      </w:r>
    </w:p>
    <w:p>
      <w:pPr>
        <w:pStyle w:val="ListBullet"/>
      </w:pPr>
      <w:r>
        <w:t>Ensure data is identified, classified, and protected consistently across the organisation.</w:t>
      </w:r>
    </w:p>
    <w:p>
      <w:pPr>
        <w:pStyle w:val="ListBullet"/>
      </w:pPr>
      <w:r>
        <w:t>Prevent unauthorised disclosure, alteration, loss, or destruction of sensitive data.</w:t>
      </w:r>
    </w:p>
    <w:p>
      <w:pPr>
        <w:pStyle w:val="ListBullet"/>
      </w:pPr>
      <w:r>
        <w:t>Support compliance with contractual, legal, regulatory, and business retention requirements.</w:t>
      </w:r>
    </w:p>
    <w:p>
      <w:pPr>
        <w:pStyle w:val="ListBullet"/>
      </w:pPr>
      <w:r>
        <w:t>Reduce unnecessary data exposure by retaining data only for approved purposes and periods.</w:t>
      </w:r>
    </w:p>
    <w:p>
      <w:pPr>
        <w:pStyle w:val="ListBullet"/>
      </w:pPr>
      <w:r>
        <w:t>Ensure secure disposal of data and media when no longer required.</w:t>
      </w:r>
    </w:p>
    <w:p>
      <w:pPr>
        <w:pStyle w:val="ListBullet"/>
      </w:pPr>
      <w:r>
        <w:t>Support effective asset management, access control, incident response, audit, and business continuity activities.</w:t>
      </w:r>
    </w:p>
    <w:p>
      <w:pPr>
        <w:pStyle w:val="Heading2"/>
      </w:pPr>
      <w:r>
        <w:t>Scope</w:t>
      </w:r>
    </w:p>
    <w:p>
      <w:r>
        <w:t>This policy applies to:</w:t>
      </w:r>
    </w:p>
    <w:p>
      <w:pPr>
        <w:pStyle w:val="ListBullet"/>
      </w:pPr>
      <w:r>
        <w:t>All employees, contractors, consultants, temporary workers, service providers, and other personnel who create, access, process, transmit, store, manage, or dispose of organisational data.</w:t>
      </w:r>
    </w:p>
    <w:p>
      <w:pPr>
        <w:pStyle w:val="ListBullet"/>
      </w:pPr>
      <w:r>
        <w:t>All organisational data, regardless of format, location, ownership, or storage medium.</w:t>
      </w:r>
    </w:p>
    <w:p>
      <w:pPr>
        <w:pStyle w:val="ListBullet"/>
      </w:pPr>
      <w:r>
        <w:t>Data held in production, development, testing, backup, archive, analytics, collaboration, messaging, endpoint, cloud, and third-party environments.</w:t>
      </w:r>
    </w:p>
    <w:p>
      <w:pPr>
        <w:pStyle w:val="ListBullet"/>
      </w:pPr>
      <w:r>
        <w:t>Data stored or processed on organisation-owned systems, personally owned devices approved for business use, removable media, paper records, cloud services, and third-party platforms.</w:t>
      </w:r>
    </w:p>
    <w:p>
      <w:pPr>
        <w:pStyle w:val="ListBullet"/>
      </w:pPr>
      <w:r>
        <w:t>Structured and unstructured data, including databases, documents, emails, logs, source files, images, exports, reports, records, and backups.</w:t>
      </w:r>
    </w:p>
    <w:p>
      <w:r>
        <w:t>This policy covers the full data lifecycle, including:</w:t>
      </w:r>
    </w:p>
    <w:tbl>
      <w:tblPr>
        <w:tblStyle w:val="TableGrid"/>
        <w:tblW w:type="auto" w:w="0"/>
        <w:tblLook w:firstColumn="1" w:firstRow="1" w:lastColumn="0" w:lastRow="0" w:noHBand="0" w:noVBand="1" w:val="04A0"/>
      </w:tblPr>
      <w:tblGrid>
        <w:gridCol w:w="4320"/>
        <w:gridCol w:w="4320"/>
      </w:tblGrid>
      <w:tr>
        <w:tc>
          <w:tcPr>
            <w:tcW w:type="dxa" w:w="4320"/>
          </w:tcPr>
          <w:p>
            <w:r>
              <w:t>Lifecycle Stage</w:t>
            </w:r>
          </w:p>
        </w:tc>
        <w:tc>
          <w:tcPr>
            <w:tcW w:type="dxa" w:w="4320"/>
          </w:tcPr>
          <w:p>
            <w:r>
              <w:t>Policy Coverage</w:t>
            </w:r>
          </w:p>
        </w:tc>
      </w:tr>
      <w:tr>
        <w:tc>
          <w:tcPr>
            <w:tcW w:type="dxa" w:w="4320"/>
          </w:tcPr>
          <w:p>
            <w:r>
              <w:t>Creation and collection</w:t>
            </w:r>
          </w:p>
        </w:tc>
        <w:tc>
          <w:tcPr>
            <w:tcW w:type="dxa" w:w="4320"/>
          </w:tcPr>
          <w:p>
            <w:r>
              <w:t>Data minimisation, classification, ownership, and permitted collection</w:t>
            </w:r>
          </w:p>
        </w:tc>
      </w:tr>
      <w:tr>
        <w:tc>
          <w:tcPr>
            <w:tcW w:type="dxa" w:w="4320"/>
          </w:tcPr>
          <w:p>
            <w:r>
              <w:t>Storage and processing</w:t>
            </w:r>
          </w:p>
        </w:tc>
        <w:tc>
          <w:tcPr>
            <w:tcW w:type="dxa" w:w="4320"/>
          </w:tcPr>
          <w:p>
            <w:r>
              <w:t>Protection, access control, encryption, monitoring, and approved locations</w:t>
            </w:r>
          </w:p>
        </w:tc>
      </w:tr>
      <w:tr>
        <w:tc>
          <w:tcPr>
            <w:tcW w:type="dxa" w:w="4320"/>
          </w:tcPr>
          <w:p>
            <w:r>
              <w:t>Sharing and transmission</w:t>
            </w:r>
          </w:p>
        </w:tc>
        <w:tc>
          <w:tcPr>
            <w:tcW w:type="dxa" w:w="4320"/>
          </w:tcPr>
          <w:p>
            <w:r>
              <w:t>Authorisation, secure transfer, recipient validation, and contractual safeguards</w:t>
            </w:r>
          </w:p>
        </w:tc>
      </w:tr>
      <w:tr>
        <w:tc>
          <w:tcPr>
            <w:tcW w:type="dxa" w:w="4320"/>
          </w:tcPr>
          <w:p>
            <w:r>
              <w:t>Retention and archiving</w:t>
            </w:r>
          </w:p>
        </w:tc>
        <w:tc>
          <w:tcPr>
            <w:tcW w:type="dxa" w:w="4320"/>
          </w:tcPr>
          <w:p>
            <w:r>
              <w:t>Approved retention periods, legal holds, business requirements, and recordkeeping</w:t>
            </w:r>
          </w:p>
        </w:tc>
      </w:tr>
      <w:tr>
        <w:tc>
          <w:tcPr>
            <w:tcW w:type="dxa" w:w="4320"/>
          </w:tcPr>
          <w:p>
            <w:r>
              <w:t>Disposal and destruction</w:t>
            </w:r>
          </w:p>
        </w:tc>
        <w:tc>
          <w:tcPr>
            <w:tcW w:type="dxa" w:w="4320"/>
          </w:tcPr>
          <w:p>
            <w:r>
              <w:t>Secure deletion, media sanitisation, destruction evidence, and exception handling</w:t>
            </w:r>
          </w:p>
        </w:tc>
      </w:tr>
    </w:tbl>
    <w:p>
      <w:pPr>
        <w:pStyle w:val="Heading2"/>
      </w:pPr>
      <w:r>
        <w:t>Policy Statements</w:t>
      </w:r>
    </w:p>
    <w:p>
      <w:pPr>
        <w:pStyle w:val="ListBullet"/>
      </w:pPr>
      <w:r>
        <w:t>The organisation shall maintain an inventory of data repositories that store, process, transmit, or archive organisational data, including systems, databases, file shares, cloud platforms, collaboration tools, backup locations, and approved third-party services.</w:t>
      </w:r>
    </w:p>
    <w:p>
      <w:pPr>
        <w:pStyle w:val="ListBullet"/>
      </w:pPr>
      <w:r>
        <w:t>Each data repository shall have an assigned business owner responsible for approving classification, access, retention, sharing, and disposal requirements.</w:t>
      </w:r>
    </w:p>
    <w:p>
      <w:pPr>
        <w:pStyle w:val="ListBullet"/>
      </w:pPr>
      <w:r>
        <w:t>All organisational data shall be classified according to its sensitivity, criticality, legal obligations, business value, and potential impact if disclosed, altered, lost, or destroyed.</w:t>
      </w:r>
    </w:p>
    <w:p>
      <w:pPr>
        <w:pStyle w:val="ListBullet"/>
      </w:pPr>
      <w:r>
        <w:t>The organisation shall use the following standard data classification scheme unless a more restrictive classification is required by law, contract, or approved business need: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Classification</w:t>
            </w:r>
          </w:p>
        </w:tc>
        <w:tc>
          <w:tcPr>
            <w:tcW w:type="dxa" w:w="2160"/>
          </w:tcPr>
          <w:p>
            <w:r>
              <w:t>Description</w:t>
            </w:r>
          </w:p>
        </w:tc>
        <w:tc>
          <w:tcPr>
            <w:tcW w:type="dxa" w:w="2160"/>
          </w:tcPr>
          <w:p>
            <w:r>
              <w:t>Examples</w:t>
            </w:r>
          </w:p>
        </w:tc>
        <w:tc>
          <w:tcPr>
            <w:tcW w:type="dxa" w:w="2160"/>
          </w:tcPr>
          <w:p>
            <w:r>
              <w:t>Minimum Handling Requirement</w:t>
            </w:r>
          </w:p>
        </w:tc>
      </w:tr>
      <w:tr>
        <w:tc>
          <w:tcPr>
            <w:tcW w:type="dxa" w:w="2160"/>
          </w:tcPr>
          <w:p>
            <w:r>
              <w:t>Public</w:t>
            </w:r>
          </w:p>
        </w:tc>
        <w:tc>
          <w:tcPr>
            <w:tcW w:type="dxa" w:w="2160"/>
          </w:tcPr>
          <w:p>
            <w:r>
              <w:t>Information approved for release outside the organisation with no expected harm from disclosure.</w:t>
            </w:r>
          </w:p>
        </w:tc>
        <w:tc>
          <w:tcPr>
            <w:tcW w:type="dxa" w:w="2160"/>
          </w:tcPr>
          <w:p>
            <w:r>
              <w:t>Published marketing content, approved public statements, public website content.</w:t>
            </w:r>
          </w:p>
        </w:tc>
        <w:tc>
          <w:tcPr>
            <w:tcW w:type="dxa" w:w="2160"/>
          </w:tcPr>
          <w:p>
            <w:r>
              <w:t>May be shared externally only after approval for public release.</w:t>
            </w:r>
          </w:p>
        </w:tc>
      </w:tr>
      <w:tr>
        <w:tc>
          <w:tcPr>
            <w:tcW w:type="dxa" w:w="2160"/>
          </w:tcPr>
          <w:p>
            <w:r>
              <w:t>Internal</w:t>
            </w:r>
          </w:p>
        </w:tc>
        <w:tc>
          <w:tcPr>
            <w:tcW w:type="dxa" w:w="2160"/>
          </w:tcPr>
          <w:p>
            <w:r>
              <w:t>Business information intended for use within the organisation and approved partners where appropriate.</w:t>
            </w:r>
          </w:p>
        </w:tc>
        <w:tc>
          <w:tcPr>
            <w:tcW w:type="dxa" w:w="2160"/>
          </w:tcPr>
          <w:p>
            <w:r>
              <w:t>Internal procedures, standard business communications, internal reports.</w:t>
            </w:r>
          </w:p>
        </w:tc>
        <w:tc>
          <w:tcPr>
            <w:tcW w:type="dxa" w:w="2160"/>
          </w:tcPr>
          <w:p>
            <w:r>
              <w:t>Store in approved business systems and share only with authorised personnel or approved recipients.</w:t>
            </w:r>
          </w:p>
        </w:tc>
      </w:tr>
      <w:tr>
        <w:tc>
          <w:tcPr>
            <w:tcW w:type="dxa" w:w="2160"/>
          </w:tcPr>
          <w:p>
            <w:r>
              <w:t>Confidential</w:t>
            </w:r>
          </w:p>
        </w:tc>
        <w:tc>
          <w:tcPr>
            <w:tcW w:type="dxa" w:w="2160"/>
          </w:tcPr>
          <w:p>
            <w:r>
              <w:t>Sensitive business, operational, personal, financial, contractual, or security-related information that could cause harm if disclosed or misused.</w:t>
            </w:r>
          </w:p>
        </w:tc>
        <w:tc>
          <w:tcPr>
            <w:tcW w:type="dxa" w:w="2160"/>
          </w:tcPr>
          <w:p>
            <w:r>
              <w:t>Customer records, employee records, contracts, financial data, security configurations, vulnerability information.</w:t>
            </w:r>
          </w:p>
        </w:tc>
        <w:tc>
          <w:tcPr>
            <w:tcW w:type="dxa" w:w="2160"/>
          </w:tcPr>
          <w:p>
            <w:r>
              <w:t>Restrict access based on business need, encrypt where required, and share only through approved secure methods.</w:t>
            </w:r>
          </w:p>
        </w:tc>
      </w:tr>
      <w:tr>
        <w:tc>
          <w:tcPr>
            <w:tcW w:type="dxa" w:w="2160"/>
          </w:tcPr>
          <w:p>
            <w:r>
              <w:t>Restricted</w:t>
            </w:r>
          </w:p>
        </w:tc>
        <w:tc>
          <w:tcPr>
            <w:tcW w:type="dxa" w:w="2160"/>
          </w:tcPr>
          <w:p>
            <w:r>
              <w:t>Highly sensitive information requiring the strongest level of protection due to legal, regulatory, contractual, safety, security, or severe business impact concerns.</w:t>
            </w:r>
          </w:p>
        </w:tc>
        <w:tc>
          <w:tcPr>
            <w:tcW w:type="dxa" w:w="2160"/>
          </w:tcPr>
          <w:p>
            <w:r>
              <w:t>Authentication secrets, encryption keys, regulated personal data, payment data, merger plans, privileged security data, incident evidence.</w:t>
            </w:r>
          </w:p>
        </w:tc>
        <w:tc>
          <w:tcPr>
            <w:tcW w:type="dxa" w:w="2160"/>
          </w:tcPr>
          <w:p>
            <w:r>
              <w:t>Limit access to explicitly authorised individuals, apply strong encryption, enhanced monitoring, and strict transfer controls.</w:t>
            </w:r>
          </w:p>
        </w:tc>
      </w:tr>
    </w:tbl>
    <w:p>
      <w:pPr>
        <w:pStyle w:val="ListBullet"/>
      </w:pPr>
      <w:r>
        <w:t>Data shall be classified at the time of creation, collection, acquisition, or onboarding into an organisational system.</w:t>
      </w:r>
    </w:p>
    <w:p>
      <w:pPr>
        <w:pStyle w:val="ListBullet"/>
      </w:pPr>
      <w:r>
        <w:t>Data owners shall ensure classification is reviewed when data use changes, sensitivity changes, regulatory requirements change, systems are migrated, or data is shared with new recipients.</w:t>
      </w:r>
    </w:p>
    <w:p>
      <w:pPr>
        <w:pStyle w:val="ListBullet"/>
      </w:pPr>
      <w:r>
        <w:t>Where a dataset contains multiple data types, the entire dataset shall be handled according to the highest applicable classification unless approved technical controls reliably separate and protect the more sensitive elements.</w:t>
      </w:r>
    </w:p>
    <w:p>
      <w:pPr>
        <w:pStyle w:val="ListBullet"/>
      </w:pPr>
      <w:r>
        <w:t>Data classification labels shall be applied where supported by the system or process, including document labels, metadata tags, repository labels, email markings, database tags, or other approved mechanisms.</w:t>
      </w:r>
    </w:p>
    <w:p>
      <w:pPr>
        <w:pStyle w:val="ListBullet"/>
      </w:pPr>
      <w:r>
        <w:t>Personnel shall not intentionally remove, downgrade, obscure, or bypass data classification labels unless authorised by the data owner and supported by a valid business reason.</w:t>
      </w:r>
    </w:p>
    <w:p>
      <w:pPr>
        <w:pStyle w:val="ListBullet"/>
      </w:pPr>
      <w:r>
        <w:t>The organisation shall collect, create, and retain only the data necessary for approved business purposes, legal obligations, contractual requirements, security operations, or legitimate organisational interests.</w:t>
      </w:r>
    </w:p>
    <w:p>
      <w:pPr>
        <w:pStyle w:val="ListBullet"/>
      </w:pPr>
      <w:r>
        <w:t>Sensitive data shall not be stored in unauthorised locations, including personal email accounts, unmanaged cloud storage, consumer messaging applications, unapproved file-sharing tools, local unmanaged devices, or removable media unless explicitly authorised.</w:t>
      </w:r>
    </w:p>
    <w:p>
      <w:pPr>
        <w:pStyle w:val="ListBullet"/>
      </w:pPr>
      <w:r>
        <w:t>Confidential and Restricted data shall be stored only in approved systems that provide appropriate access control, logging, backup, encryption, and administrative oversight.</w:t>
      </w:r>
    </w:p>
    <w:p>
      <w:pPr>
        <w:pStyle w:val="ListBullet"/>
      </w:pPr>
      <w:r>
        <w:t>Access to Confidential and Restricted data shall be limited to authorised users with a legitimate business need and shall be reviewed periodically by the data owner or delegate.</w:t>
      </w:r>
    </w:p>
    <w:p>
      <w:pPr>
        <w:pStyle w:val="ListBullet"/>
      </w:pPr>
      <w:r>
        <w:t>Privileged access to repositories containing Confidential or Restricted data shall be granted only to authorised administrative personnel and shall be monitored for inappropriate access or activity.</w:t>
      </w:r>
    </w:p>
    <w:p>
      <w:pPr>
        <w:pStyle w:val="ListBullet"/>
      </w:pPr>
      <w:r>
        <w:t>Confidential and Restricted data shall be encrypted when transmitted across untrusted networks or outside organisation-controlled environments.</w:t>
      </w:r>
    </w:p>
    <w:p>
      <w:pPr>
        <w:pStyle w:val="ListBullet"/>
      </w:pPr>
      <w:r>
        <w:t>Restricted data shall be encrypted at rest unless a documented risk assessment and approved compensating controls justify an alternative protection method.</w:t>
      </w:r>
    </w:p>
    <w:p>
      <w:pPr>
        <w:pStyle w:val="ListBullet"/>
      </w:pPr>
      <w:r>
        <w:t>Encryption keys, passwords, tokens, certificates, and other secrets shall be stored and managed using approved secure mechanisms and shall not be embedded in code, scripts, documents, tickets, or unsecured repositories.</w:t>
      </w:r>
    </w:p>
    <w:p>
      <w:pPr>
        <w:pStyle w:val="ListBullet"/>
      </w:pPr>
      <w:r>
        <w:t>Data transfers to external parties shall be authorised by the data owner or an approved delegate before transmission.</w:t>
      </w:r>
    </w:p>
    <w:p>
      <w:pPr>
        <w:pStyle w:val="ListBullet"/>
      </w:pPr>
      <w:r>
        <w:t>External sharing of Confidential or Restricted data shall occur only through approved secure transfer methods, with recipient identity validated and access limited to the minimum necessary data.</w:t>
      </w:r>
    </w:p>
    <w:p>
      <w:pPr>
        <w:pStyle w:val="ListBullet"/>
      </w:pPr>
      <w:r>
        <w:t>Confidential or Restricted data shall not be sent using personal email, public file-sharing links, unsecured removable media, or other unapproved channels.</w:t>
      </w:r>
    </w:p>
    <w:p>
      <w:pPr>
        <w:pStyle w:val="ListBullet"/>
      </w:pPr>
      <w:r>
        <w:t>Third parties that store, process, transmit, or access Confidential or Restricted data shall be subject to due diligence, contractual data protection obligations, access restrictions, and secure return or disposal requirements.</w:t>
      </w:r>
    </w:p>
    <w:p>
      <w:pPr>
        <w:pStyle w:val="ListBullet"/>
      </w:pPr>
      <w:r>
        <w:t>Production data shall not be copied into development, testing, training, analytics, or demonstration environments unless approved by the data owner and protected to the same level as the source environment.</w:t>
      </w:r>
    </w:p>
    <w:p>
      <w:pPr>
        <w:pStyle w:val="ListBullet"/>
      </w:pPr>
      <w:r>
        <w:t>Where feasible, sensitive production data used outside production shall be masked, tokenised, anonymised, pseudonymised, or otherwise de-identified before use.</w:t>
      </w:r>
    </w:p>
    <w:p>
      <w:pPr>
        <w:pStyle w:val="ListBullet"/>
      </w:pPr>
      <w:r>
        <w:t>Test, training, and development data shall be removed when no longer required and shall not be retained indefinitely.</w:t>
      </w:r>
    </w:p>
    <w:p>
      <w:pPr>
        <w:pStyle w:val="ListBullet"/>
      </w:pPr>
      <w:r>
        <w:t>The organisation shall define and maintain a data retention schedule that specifies approved retention periods for major data types and record categories.</w:t>
      </w:r>
    </w:p>
    <w:p>
      <w:pPr>
        <w:pStyle w:val="ListBullet"/>
      </w:pPr>
      <w:r>
        <w:t>Data owners shall ensure data is retained for the period required to meet business, legal, contractual, audit, tax, regulatory, security, and operational needs.</w:t>
      </w:r>
    </w:p>
    <w:p>
      <w:pPr>
        <w:pStyle w:val="ListBullet"/>
      </w:pPr>
      <w:r>
        <w:t>Data shall not be retained longer than necessary unless there is an approved legal hold, investigation hold, contractual requirement, business justification, or regulatory obligation.</w:t>
      </w:r>
    </w:p>
    <w:p>
      <w:pPr>
        <w:pStyle w:val="ListBullet"/>
      </w:pPr>
      <w:r>
        <w:t>The organisation shall apply the following baseline retention schedule unless a formally approved schedule, contract, legal requirement, or hold instruction requires otherwise: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Examples</w:t>
            </w:r>
          </w:p>
        </w:tc>
        <w:tc>
          <w:tcPr>
            <w:tcW w:type="dxa" w:w="2160"/>
          </w:tcPr>
          <w:p>
            <w:r>
              <w:t>Default Retention Period</w:t>
            </w:r>
          </w:p>
        </w:tc>
        <w:tc>
          <w:tcPr>
            <w:tcW w:type="dxa" w:w="2160"/>
          </w:tcPr>
          <w:p>
            <w:r>
              <w:t>Responsible Owner</w:t>
            </w:r>
          </w:p>
        </w:tc>
      </w:tr>
      <w:tr>
        <w:tc>
          <w:tcPr>
            <w:tcW w:type="dxa" w:w="2160"/>
          </w:tcPr>
          <w:p>
            <w:r>
              <w:t>Corporate governance records</w:t>
            </w:r>
          </w:p>
        </w:tc>
        <w:tc>
          <w:tcPr>
            <w:tcW w:type="dxa" w:w="2160"/>
          </w:tcPr>
          <w:p>
            <w:r>
              <w:t>Board materials, company registers, formal approvals</w:t>
            </w:r>
          </w:p>
        </w:tc>
        <w:tc>
          <w:tcPr>
            <w:tcW w:type="dxa" w:w="2160"/>
          </w:tcPr>
          <w:p>
            <w:r>
              <w:t>Permanent or as required by law</w:t>
            </w:r>
          </w:p>
        </w:tc>
        <w:tc>
          <w:tcPr>
            <w:tcW w:type="dxa" w:w="2160"/>
          </w:tcPr>
          <w:p>
            <w:r>
              <w:t>[Corporate Secretary / Legal Owner]</w:t>
            </w:r>
          </w:p>
        </w:tc>
      </w:tr>
      <w:tr>
        <w:tc>
          <w:tcPr>
            <w:tcW w:type="dxa" w:w="2160"/>
          </w:tcPr>
          <w:p>
            <w:r>
              <w:t>Financial and accounting records</w:t>
            </w:r>
          </w:p>
        </w:tc>
        <w:tc>
          <w:tcPr>
            <w:tcW w:type="dxa" w:w="2160"/>
          </w:tcPr>
          <w:p>
            <w:r>
              <w:t>Invoices, ledgers, tax records, expense records</w:t>
            </w:r>
          </w:p>
        </w:tc>
        <w:tc>
          <w:tcPr>
            <w:tcW w:type="dxa" w:w="2160"/>
          </w:tcPr>
          <w:p>
            <w:r>
              <w:t>[7 years]</w:t>
            </w:r>
          </w:p>
        </w:tc>
        <w:tc>
          <w:tcPr>
            <w:tcW w:type="dxa" w:w="2160"/>
          </w:tcPr>
          <w:p>
            <w:r>
              <w:t>Finance Owner</w:t>
            </w:r>
          </w:p>
        </w:tc>
      </w:tr>
      <w:tr>
        <w:tc>
          <w:tcPr>
            <w:tcW w:type="dxa" w:w="2160"/>
          </w:tcPr>
          <w:p>
            <w:r>
              <w:t>Customer contract records</w:t>
            </w:r>
          </w:p>
        </w:tc>
        <w:tc>
          <w:tcPr>
            <w:tcW w:type="dxa" w:w="2160"/>
          </w:tcPr>
          <w:p>
            <w:r>
              <w:t>Signed agreements, amendments, statements of work</w:t>
            </w:r>
          </w:p>
        </w:tc>
        <w:tc>
          <w:tcPr>
            <w:tcW w:type="dxa" w:w="2160"/>
          </w:tcPr>
          <w:p>
            <w:r>
              <w:t>Contract term plus [7 years]</w:t>
            </w:r>
          </w:p>
        </w:tc>
        <w:tc>
          <w:tcPr>
            <w:tcW w:type="dxa" w:w="2160"/>
          </w:tcPr>
          <w:p>
            <w:r>
              <w:t>Legal / Sales Operations Owner</w:t>
            </w:r>
          </w:p>
        </w:tc>
      </w:tr>
      <w:tr>
        <w:tc>
          <w:tcPr>
            <w:tcW w:type="dxa" w:w="2160"/>
          </w:tcPr>
          <w:p>
            <w:r>
              <w:t>Customer operational records</w:t>
            </w:r>
          </w:p>
        </w:tc>
        <w:tc>
          <w:tcPr>
            <w:tcW w:type="dxa" w:w="2160"/>
          </w:tcPr>
          <w:p>
            <w:r>
              <w:t>Service records, support history, account records</w:t>
            </w:r>
          </w:p>
        </w:tc>
        <w:tc>
          <w:tcPr>
            <w:tcW w:type="dxa" w:w="2160"/>
          </w:tcPr>
          <w:p>
            <w:r>
              <w:t>Contract term plus [2 years]</w:t>
            </w:r>
          </w:p>
        </w:tc>
        <w:tc>
          <w:tcPr>
            <w:tcW w:type="dxa" w:w="2160"/>
          </w:tcPr>
          <w:p>
            <w:r>
              <w:t>Customer Operations Owner</w:t>
            </w:r>
          </w:p>
        </w:tc>
      </w:tr>
      <w:tr>
        <w:tc>
          <w:tcPr>
            <w:tcW w:type="dxa" w:w="2160"/>
          </w:tcPr>
          <w:p>
            <w:r>
              <w:t>Employee personnel records</w:t>
            </w:r>
          </w:p>
        </w:tc>
        <w:tc>
          <w:tcPr>
            <w:tcW w:type="dxa" w:w="2160"/>
          </w:tcPr>
          <w:p>
            <w:r>
              <w:t>Employment records, performance records, HR case files</w:t>
            </w:r>
          </w:p>
        </w:tc>
        <w:tc>
          <w:tcPr>
            <w:tcW w:type="dxa" w:w="2160"/>
          </w:tcPr>
          <w:p>
            <w:r>
              <w:t>Employment term plus [7 years]</w:t>
            </w:r>
          </w:p>
        </w:tc>
        <w:tc>
          <w:tcPr>
            <w:tcW w:type="dxa" w:w="2160"/>
          </w:tcPr>
          <w:p>
            <w:r>
              <w:t>HR Owner</w:t>
            </w:r>
          </w:p>
        </w:tc>
      </w:tr>
      <w:tr>
        <w:tc>
          <w:tcPr>
            <w:tcW w:type="dxa" w:w="2160"/>
          </w:tcPr>
          <w:p>
            <w:r>
              <w:t>Recruitment records</w:t>
            </w:r>
          </w:p>
        </w:tc>
        <w:tc>
          <w:tcPr>
            <w:tcW w:type="dxa" w:w="2160"/>
          </w:tcPr>
          <w:p>
            <w:r>
              <w:t>Applications, interview notes, assessment records</w:t>
            </w:r>
          </w:p>
        </w:tc>
        <w:tc>
          <w:tcPr>
            <w:tcW w:type="dxa" w:w="2160"/>
          </w:tcPr>
          <w:p>
            <w:r>
              <w:t>[12 months] after decision unless consent or law requires longer</w:t>
            </w:r>
          </w:p>
        </w:tc>
        <w:tc>
          <w:tcPr>
            <w:tcW w:type="dxa" w:w="2160"/>
          </w:tcPr>
          <w:p>
            <w:r>
              <w:t>HR Owner</w:t>
            </w:r>
          </w:p>
        </w:tc>
      </w:tr>
      <w:tr>
        <w:tc>
          <w:tcPr>
            <w:tcW w:type="dxa" w:w="2160"/>
          </w:tcPr>
          <w:p>
            <w:r>
              <w:t>Security logs</w:t>
            </w:r>
          </w:p>
        </w:tc>
        <w:tc>
          <w:tcPr>
            <w:tcW w:type="dxa" w:w="2160"/>
          </w:tcPr>
          <w:p>
            <w:r>
              <w:t>Authentication logs, system logs, network logs, security alerts</w:t>
            </w:r>
          </w:p>
        </w:tc>
        <w:tc>
          <w:tcPr>
            <w:tcW w:type="dxa" w:w="2160"/>
          </w:tcPr>
          <w:p>
            <w:r>
              <w:t>Minimum [12 months] where feasible</w:t>
            </w:r>
          </w:p>
        </w:tc>
        <w:tc>
          <w:tcPr>
            <w:tcW w:type="dxa" w:w="2160"/>
          </w:tcPr>
          <w:p>
            <w:r>
              <w:t>Security Owner</w:t>
            </w:r>
          </w:p>
        </w:tc>
      </w:tr>
      <w:tr>
        <w:tc>
          <w:tcPr>
            <w:tcW w:type="dxa" w:w="2160"/>
          </w:tcPr>
          <w:p>
            <w:r>
              <w:t>Vulnerability and remediation records</w:t>
            </w:r>
          </w:p>
        </w:tc>
        <w:tc>
          <w:tcPr>
            <w:tcW w:type="dxa" w:w="2160"/>
          </w:tcPr>
          <w:p>
            <w:r>
              <w:t>Scan results, remediation evidence, risk acceptances</w:t>
            </w:r>
          </w:p>
        </w:tc>
        <w:tc>
          <w:tcPr>
            <w:tcW w:type="dxa" w:w="2160"/>
          </w:tcPr>
          <w:p>
            <w:r>
              <w:t>[3 years]</w:t>
            </w:r>
          </w:p>
        </w:tc>
        <w:tc>
          <w:tcPr>
            <w:tcW w:type="dxa" w:w="2160"/>
          </w:tcPr>
          <w:p>
            <w:r>
              <w:t>Security Owner</w:t>
            </w:r>
          </w:p>
        </w:tc>
      </w:tr>
      <w:tr>
        <w:tc>
          <w:tcPr>
            <w:tcW w:type="dxa" w:w="2160"/>
          </w:tcPr>
          <w:p>
            <w:r>
              <w:t>Incident records</w:t>
            </w:r>
          </w:p>
        </w:tc>
        <w:tc>
          <w:tcPr>
            <w:tcW w:type="dxa" w:w="2160"/>
          </w:tcPr>
          <w:p>
            <w:r>
              <w:t>Incident reports, evidence, communications, lessons learned</w:t>
            </w:r>
          </w:p>
        </w:tc>
        <w:tc>
          <w:tcPr>
            <w:tcW w:type="dxa" w:w="2160"/>
          </w:tcPr>
          <w:p>
            <w:r>
              <w:t>[5 years] or longer for significant incidents</w:t>
            </w:r>
          </w:p>
        </w:tc>
        <w:tc>
          <w:tcPr>
            <w:tcW w:type="dxa" w:w="2160"/>
          </w:tcPr>
          <w:p>
            <w:r>
              <w:t>Security Owner / Legal Owner</w:t>
            </w:r>
          </w:p>
        </w:tc>
      </w:tr>
      <w:tr>
        <w:tc>
          <w:tcPr>
            <w:tcW w:type="dxa" w:w="2160"/>
          </w:tcPr>
          <w:p>
            <w:r>
              <w:t>Backup data</w:t>
            </w:r>
          </w:p>
        </w:tc>
        <w:tc>
          <w:tcPr>
            <w:tcW w:type="dxa" w:w="2160"/>
          </w:tcPr>
          <w:p>
            <w:r>
              <w:t>System backups, database backups, archive snapshots</w:t>
            </w:r>
          </w:p>
        </w:tc>
        <w:tc>
          <w:tcPr>
            <w:tcW w:type="dxa" w:w="2160"/>
          </w:tcPr>
          <w:p>
            <w:r>
              <w:t>According to approved backup schedule, typically [30-90 days] for operational backups</w:t>
            </w:r>
          </w:p>
        </w:tc>
        <w:tc>
          <w:tcPr>
            <w:tcW w:type="dxa" w:w="2160"/>
          </w:tcPr>
          <w:p>
            <w:r>
              <w:t>IT Operations Owner</w:t>
            </w:r>
          </w:p>
        </w:tc>
      </w:tr>
      <w:tr>
        <w:tc>
          <w:tcPr>
            <w:tcW w:type="dxa" w:w="2160"/>
          </w:tcPr>
          <w:p>
            <w:r>
              <w:t>Marketing contact data</w:t>
            </w:r>
          </w:p>
        </w:tc>
        <w:tc>
          <w:tcPr>
            <w:tcW w:type="dxa" w:w="2160"/>
          </w:tcPr>
          <w:p>
            <w:r>
              <w:t>Mailing lists, campaign records, consent records</w:t>
            </w:r>
          </w:p>
        </w:tc>
        <w:tc>
          <w:tcPr>
            <w:tcW w:type="dxa" w:w="2160"/>
          </w:tcPr>
          <w:p>
            <w:r>
              <w:t>Until withdrawal, expiry of consent, or [2 years] of inactivity</w:t>
            </w:r>
          </w:p>
        </w:tc>
        <w:tc>
          <w:tcPr>
            <w:tcW w:type="dxa" w:w="2160"/>
          </w:tcPr>
          <w:p>
            <w:r>
              <w:t>Marketing Owner</w:t>
            </w:r>
          </w:p>
        </w:tc>
      </w:tr>
      <w:tr>
        <w:tc>
          <w:tcPr>
            <w:tcW w:type="dxa" w:w="2160"/>
          </w:tcPr>
          <w:p>
            <w:r>
              <w:t>General business communications</w:t>
            </w:r>
          </w:p>
        </w:tc>
        <w:tc>
          <w:tcPr>
            <w:tcW w:type="dxa" w:w="2160"/>
          </w:tcPr>
          <w:p>
            <w:r>
              <w:t>Email, chat, working documents</w:t>
            </w:r>
          </w:p>
        </w:tc>
        <w:tc>
          <w:tcPr>
            <w:tcW w:type="dxa" w:w="2160"/>
          </w:tcPr>
          <w:p>
            <w:r>
              <w:t>[3 years] unless categorised elsewhere</w:t>
            </w:r>
          </w:p>
        </w:tc>
        <w:tc>
          <w:tcPr>
            <w:tcW w:type="dxa" w:w="2160"/>
          </w:tcPr>
          <w:p>
            <w:r>
              <w:t>Business Process Owner</w:t>
            </w:r>
          </w:p>
        </w:tc>
      </w:tr>
      <w:tr>
        <w:tc>
          <w:tcPr>
            <w:tcW w:type="dxa" w:w="2160"/>
          </w:tcPr>
          <w:p>
            <w:r>
              <w:t>Public materials</w:t>
            </w:r>
          </w:p>
        </w:tc>
        <w:tc>
          <w:tcPr>
            <w:tcW w:type="dxa" w:w="2160"/>
          </w:tcPr>
          <w:p>
            <w:r>
              <w:t>Approved publications, website content, press releases</w:t>
            </w:r>
          </w:p>
        </w:tc>
        <w:tc>
          <w:tcPr>
            <w:tcW w:type="dxa" w:w="2160"/>
          </w:tcPr>
          <w:p>
            <w:r>
              <w:t>Current version plus [3 years]</w:t>
            </w:r>
          </w:p>
        </w:tc>
        <w:tc>
          <w:tcPr>
            <w:tcW w:type="dxa" w:w="2160"/>
          </w:tcPr>
          <w:p>
            <w:r>
              <w:t>Communications Owner</w:t>
            </w:r>
          </w:p>
        </w:tc>
      </w:tr>
    </w:tbl>
    <w:p>
      <w:pPr>
        <w:pStyle w:val="ListBullet"/>
      </w:pPr>
      <w:r>
        <w:t>Retention periods shall be documented, approved, and periodically reviewed to ensure they remain aligned with business needs and applicable obligations.</w:t>
      </w:r>
    </w:p>
    <w:p>
      <w:pPr>
        <w:pStyle w:val="ListBullet"/>
      </w:pPr>
      <w:r>
        <w:t>Systems storing data subject to retention requirements shall support retention enforcement where feasible, including lifecycle rules, archival controls, automated deletion, legal hold support, or documented manual processes.</w:t>
      </w:r>
    </w:p>
    <w:p>
      <w:pPr>
        <w:pStyle w:val="ListBullet"/>
      </w:pPr>
      <w:r>
        <w:t>Users shall not create unofficial archives, duplicate repositories, exports, or local copies to bypass retention or disposal requirements.</w:t>
      </w:r>
    </w:p>
    <w:p>
      <w:pPr>
        <w:pStyle w:val="ListBullet"/>
      </w:pPr>
      <w:r>
        <w:t>Data subject to legal hold, investigation hold, audit hold, regulatory inquiry, or dispute preservation shall not be altered, deleted, overwritten, destroyed, anonymised, or disposed of until the hold is formally released.</w:t>
      </w:r>
    </w:p>
    <w:p>
      <w:pPr>
        <w:pStyle w:val="ListBullet"/>
      </w:pPr>
      <w:r>
        <w:t>Legal hold notices shall identify the affected data, custodians, systems, preservation requirements, and release process.</w:t>
      </w:r>
    </w:p>
    <w:p>
      <w:pPr>
        <w:pStyle w:val="ListBullet"/>
      </w:pPr>
      <w:r>
        <w:t>Data owners and system owners shall ensure disposal activities are suspended for data subject to an active hold.</w:t>
      </w:r>
    </w:p>
    <w:p>
      <w:pPr>
        <w:pStyle w:val="ListBullet"/>
      </w:pPr>
      <w:r>
        <w:t>Data that has reached the end of its approved retention period and is not subject to an active hold shall be securely disposed of in a timely manner.</w:t>
      </w:r>
    </w:p>
    <w:p>
      <w:pPr>
        <w:pStyle w:val="ListBullet"/>
      </w:pPr>
      <w:r>
        <w:t>Disposal methods shall be appropriate to the data classification, media type, system capability, and risk of recovery.</w:t>
      </w:r>
    </w:p>
    <w:p>
      <w:pPr>
        <w:pStyle w:val="ListBullet"/>
      </w:pPr>
      <w:r>
        <w:t>The organisation shall use the following minimum disposal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t>Data or Media Type</w:t>
            </w:r>
          </w:p>
        </w:tc>
        <w:tc>
          <w:tcPr>
            <w:tcW w:type="dxa" w:w="2880"/>
          </w:tcPr>
          <w:p>
            <w:r>
              <w:t>Minimum Disposal Method</w:t>
            </w:r>
          </w:p>
        </w:tc>
        <w:tc>
          <w:tcPr>
            <w:tcW w:type="dxa" w:w="2880"/>
          </w:tcPr>
          <w:p>
            <w:r>
              <w:t>Evidence Required</w:t>
            </w:r>
          </w:p>
        </w:tc>
      </w:tr>
      <w:tr>
        <w:tc>
          <w:tcPr>
            <w:tcW w:type="dxa" w:w="2880"/>
          </w:tcPr>
          <w:p>
            <w:r>
              <w:t>Public or Internal electronic data</w:t>
            </w:r>
          </w:p>
        </w:tc>
        <w:tc>
          <w:tcPr>
            <w:tcW w:type="dxa" w:w="2880"/>
          </w:tcPr>
          <w:p>
            <w:r>
              <w:t>Standard deletion or lifecycle expiration in approved systems</w:t>
            </w:r>
          </w:p>
        </w:tc>
        <w:tc>
          <w:tcPr>
            <w:tcW w:type="dxa" w:w="2880"/>
          </w:tcPr>
          <w:p>
            <w:r>
              <w:t>System log, deletion record, or owner confirmation where required</w:t>
            </w:r>
          </w:p>
        </w:tc>
      </w:tr>
      <w:tr>
        <w:tc>
          <w:tcPr>
            <w:tcW w:type="dxa" w:w="2880"/>
          </w:tcPr>
          <w:p>
            <w:r>
              <w:t>Confidential electronic data</w:t>
            </w:r>
          </w:p>
        </w:tc>
        <w:tc>
          <w:tcPr>
            <w:tcW w:type="dxa" w:w="2880"/>
          </w:tcPr>
          <w:p>
            <w:r>
              <w:t>Secure deletion, cryptographic erasure, approved purge process, or verified deletion from managed platform</w:t>
            </w:r>
          </w:p>
        </w:tc>
        <w:tc>
          <w:tcPr>
            <w:tcW w:type="dxa" w:w="2880"/>
          </w:tcPr>
          <w:p>
            <w:r>
              <w:t>Deletion log, ticket, workflow approval, or platform report</w:t>
            </w:r>
          </w:p>
        </w:tc>
      </w:tr>
      <w:tr>
        <w:tc>
          <w:tcPr>
            <w:tcW w:type="dxa" w:w="2880"/>
          </w:tcPr>
          <w:p>
            <w:r>
              <w:t>Restricted electronic data</w:t>
            </w:r>
          </w:p>
        </w:tc>
        <w:tc>
          <w:tcPr>
            <w:tcW w:type="dxa" w:w="2880"/>
          </w:tcPr>
          <w:p>
            <w:r>
              <w:t>Verified secure deletion, cryptographic erasure, approved purge process, or documented destruction under security oversight</w:t>
            </w:r>
          </w:p>
        </w:tc>
        <w:tc>
          <w:tcPr>
            <w:tcW w:type="dxa" w:w="2880"/>
          </w:tcPr>
          <w:p>
            <w:r>
              <w:t>Disposal record, approval, verification evidence, and date</w:t>
            </w:r>
          </w:p>
        </w:tc>
      </w:tr>
      <w:tr>
        <w:tc>
          <w:tcPr>
            <w:tcW w:type="dxa" w:w="2880"/>
          </w:tcPr>
          <w:p>
            <w:r>
              <w:t>Paper records containing Internal data</w:t>
            </w:r>
          </w:p>
        </w:tc>
        <w:tc>
          <w:tcPr>
            <w:tcW w:type="dxa" w:w="2880"/>
          </w:tcPr>
          <w:p>
            <w:r>
              <w:t>Recycling through approved business process</w:t>
            </w:r>
          </w:p>
        </w:tc>
        <w:tc>
          <w:tcPr>
            <w:tcW w:type="dxa" w:w="2880"/>
          </w:tcPr>
          <w:p>
            <w:r>
              <w:t>Not required unless directed by owner</w:t>
            </w:r>
          </w:p>
        </w:tc>
      </w:tr>
      <w:tr>
        <w:tc>
          <w:tcPr>
            <w:tcW w:type="dxa" w:w="2880"/>
          </w:tcPr>
          <w:p>
            <w:r>
              <w:t>Paper records containing Confidential or Restricted data</w:t>
            </w:r>
          </w:p>
        </w:tc>
        <w:tc>
          <w:tcPr>
            <w:tcW w:type="dxa" w:w="2880"/>
          </w:tcPr>
          <w:p>
            <w:r>
              <w:t>Cross-cut shredding, pulping, incineration, or approved secure destruction vendor</w:t>
            </w:r>
          </w:p>
        </w:tc>
        <w:tc>
          <w:tcPr>
            <w:tcW w:type="dxa" w:w="2880"/>
          </w:tcPr>
          <w:p>
            <w:r>
              <w:t>Certificate of destruction or internal destruction log</w:t>
            </w:r>
          </w:p>
        </w:tc>
      </w:tr>
      <w:tr>
        <w:tc>
          <w:tcPr>
            <w:tcW w:type="dxa" w:w="2880"/>
          </w:tcPr>
          <w:p>
            <w:r>
              <w:t>Removable media</w:t>
            </w:r>
          </w:p>
        </w:tc>
        <w:tc>
          <w:tcPr>
            <w:tcW w:type="dxa" w:w="2880"/>
          </w:tcPr>
          <w:p>
            <w:r>
              <w:t>Sanitisation, cryptographic erasure, degaussing where applicable, or physical destruction</w:t>
            </w:r>
          </w:p>
        </w:tc>
        <w:tc>
          <w:tcPr>
            <w:tcW w:type="dxa" w:w="2880"/>
          </w:tcPr>
          <w:p>
            <w:r>
              <w:t>Sanitisation record or destruction certificate</w:t>
            </w:r>
          </w:p>
        </w:tc>
      </w:tr>
      <w:tr>
        <w:tc>
          <w:tcPr>
            <w:tcW w:type="dxa" w:w="2880"/>
          </w:tcPr>
          <w:p>
            <w:r>
              <w:t>Failed drives and storage devices</w:t>
            </w:r>
          </w:p>
        </w:tc>
        <w:tc>
          <w:tcPr>
            <w:tcW w:type="dxa" w:w="2880"/>
          </w:tcPr>
          <w:p>
            <w:r>
              <w:t>Physical destruction or approved secure handling until destruction</w:t>
            </w:r>
          </w:p>
        </w:tc>
        <w:tc>
          <w:tcPr>
            <w:tcW w:type="dxa" w:w="2880"/>
          </w:tcPr>
          <w:p>
            <w:r>
              <w:t>Asset record and destruction certificate</w:t>
            </w:r>
          </w:p>
        </w:tc>
      </w:tr>
      <w:tr>
        <w:tc>
          <w:tcPr>
            <w:tcW w:type="dxa" w:w="2880"/>
          </w:tcPr>
          <w:p>
            <w:r>
              <w:t>Cloud-hosted data</w:t>
            </w:r>
          </w:p>
        </w:tc>
        <w:tc>
          <w:tcPr>
            <w:tcW w:type="dxa" w:w="2880"/>
          </w:tcPr>
          <w:p>
            <w:r>
              <w:t>Deletion through approved platform controls, lifecycle policies, or provider-supported secure deletion</w:t>
            </w:r>
          </w:p>
        </w:tc>
        <w:tc>
          <w:tcPr>
            <w:tcW w:type="dxa" w:w="2880"/>
          </w:tcPr>
          <w:p>
            <w:r>
              <w:t>Platform log, deletion report, or vendor confirmation</w:t>
            </w:r>
          </w:p>
        </w:tc>
      </w:tr>
      <w:tr>
        <w:tc>
          <w:tcPr>
            <w:tcW w:type="dxa" w:w="2880"/>
          </w:tcPr>
          <w:p>
            <w:r>
              <w:t>Backup data</w:t>
            </w:r>
          </w:p>
        </w:tc>
        <w:tc>
          <w:tcPr>
            <w:tcW w:type="dxa" w:w="2880"/>
          </w:tcPr>
          <w:p>
            <w:r>
              <w:t>Expiration through approved backup lifecycle process unless targeted deletion is technically required and feasible</w:t>
            </w:r>
          </w:p>
        </w:tc>
        <w:tc>
          <w:tcPr>
            <w:tcW w:type="dxa" w:w="2880"/>
          </w:tcPr>
          <w:p>
            <w:r>
              <w:t>Backup retention report or lifecycle policy evidence</w:t>
            </w:r>
          </w:p>
        </w:tc>
      </w:tr>
    </w:tbl>
    <w:p>
      <w:pPr>
        <w:pStyle w:val="ListBullet"/>
      </w:pPr>
      <w:r>
        <w:t>Disposal of Confidential and Restricted data shall be authorised by the data owner or performed according to an approved retention schedule or automated lifecycle rule.</w:t>
      </w:r>
    </w:p>
    <w:p>
      <w:pPr>
        <w:pStyle w:val="ListBullet"/>
      </w:pPr>
      <w:r>
        <w:t>Disposal actions involving regulated, high-value, or Restricted data shall be traceable to an approved request, retention schedule, or documented disposal event.</w:t>
      </w:r>
    </w:p>
    <w:p>
      <w:pPr>
        <w:pStyle w:val="ListBullet"/>
      </w:pPr>
      <w:r>
        <w:t>Media containing Confidential or Restricted data shall not be reused, transferred, returned, recycled, donated, or disposed of unless sanitised or destroyed using approved methods.</w:t>
      </w:r>
    </w:p>
    <w:p>
      <w:pPr>
        <w:pStyle w:val="ListBullet"/>
      </w:pPr>
      <w:r>
        <w:t>Removable media shall be used only where there is an approved business need and shall be encrypted when storing Confidential or Restricted data.</w:t>
      </w:r>
    </w:p>
    <w:p>
      <w:pPr>
        <w:pStyle w:val="ListBullet"/>
      </w:pPr>
      <w:r>
        <w:t>Lost, stolen, misplaced, or unauthorised removable media, printed records, mobile devices, storage devices, or data exports shall be reported immediately through the organisation’s incident reporting process.</w:t>
      </w:r>
    </w:p>
    <w:p>
      <w:pPr>
        <w:pStyle w:val="ListBullet"/>
      </w:pPr>
      <w:r>
        <w:t>Data exports and reports containing Confidential or Restricted data shall be limited to the minimum fields necessary, stored only in approved locations, and deleted when no longer required.</w:t>
      </w:r>
    </w:p>
    <w:p>
      <w:pPr>
        <w:pStyle w:val="ListBullet"/>
      </w:pPr>
      <w:r>
        <w:t>Users shall not download or export sensitive data to local devices unless there is an approved business need and the device is managed, protected, and authorised for such use.</w:t>
      </w:r>
    </w:p>
    <w:p>
      <w:pPr>
        <w:pStyle w:val="ListBullet"/>
      </w:pPr>
      <w:r>
        <w:t>Email, collaboration, and messaging platforms shall not be used as permanent repositories for records unless formally approved and subject to retention controls.</w:t>
      </w:r>
    </w:p>
    <w:p>
      <w:pPr>
        <w:pStyle w:val="ListBullet"/>
      </w:pPr>
      <w:r>
        <w:t>Business units shall identify repositories containing Confidential or Restricted data and ensure they are included in security monitoring, backup planning, access review, and retention management processes.</w:t>
      </w:r>
    </w:p>
    <w:p>
      <w:pPr>
        <w:pStyle w:val="ListBullet"/>
      </w:pPr>
      <w:r>
        <w:t>System owners shall enable logging for access, administrative actions, data export, deletion, sharing, and permission changes for systems containing Confidential or Restricted data where technically feasible.</w:t>
      </w:r>
    </w:p>
    <w:p>
      <w:pPr>
        <w:pStyle w:val="ListBullet"/>
      </w:pPr>
      <w:r>
        <w:t>Logs related to access and administrative activities for sensitive data repositories shall be protected from unauthorised alteration or deletion.</w:t>
      </w:r>
    </w:p>
    <w:p>
      <w:pPr>
        <w:pStyle w:val="ListBullet"/>
      </w:pPr>
      <w:r>
        <w:t>Data owners shall ensure data quality, accuracy, and integrity are maintained where the data is used for operational, financial, security, legal, reporting, or customer-facing purposes.</w:t>
      </w:r>
    </w:p>
    <w:p>
      <w:pPr>
        <w:pStyle w:val="ListBullet"/>
      </w:pPr>
      <w:r>
        <w:t>Unauthorised, duplicate, obsolete, or unknown data repositories shall be assessed and either approved, remediated, migrated, archived, or securely disposed of.</w:t>
      </w:r>
    </w:p>
    <w:p>
      <w:pPr>
        <w:pStyle w:val="ListBullet"/>
      </w:pPr>
      <w:r>
        <w:t>The organisation shall periodically identify sensitive data stored in approved and unauthorised locations using appropriate manual or automated methods.</w:t>
      </w:r>
    </w:p>
    <w:p>
      <w:pPr>
        <w:pStyle w:val="ListBullet"/>
      </w:pPr>
      <w:r>
        <w:t>Discovered sensitive data stored in unauthorised locations shall be moved to an approved repository, protected with approved controls, securely deleted, or otherwise remediated within a risk-based timeframe.</w:t>
      </w:r>
    </w:p>
    <w:p>
      <w:pPr>
        <w:pStyle w:val="ListBullet"/>
      </w:pPr>
      <w:r>
        <w:t>Data protection requirements shall be considered before implementing new systems, integrations, reporting tools, analytics platforms, cloud services, or third-party data processing arrangements.</w:t>
      </w:r>
    </w:p>
    <w:p>
      <w:pPr>
        <w:pStyle w:val="ListBullet"/>
      </w:pPr>
      <w:r>
        <w:t>Data migration activities shall include validation of classification, access permissions, retention requirements, disposal of source copies, and protection of transfer mechanisms.</w:t>
      </w:r>
    </w:p>
    <w:p>
      <w:pPr>
        <w:pStyle w:val="ListBullet"/>
      </w:pPr>
      <w:r>
        <w:t>Backups containing Confidential or Restricted data shall be protected against unauthorised access, alteration, and deletion.</w:t>
      </w:r>
    </w:p>
    <w:p>
      <w:pPr>
        <w:pStyle w:val="ListBullet"/>
      </w:pPr>
      <w:r>
        <w:t>Backup retention shall align with approved recovery and retention requirements and shall not be used as a substitute for unmanaged long-term archiving.</w:t>
      </w:r>
    </w:p>
    <w:p>
      <w:pPr>
        <w:pStyle w:val="ListBullet"/>
      </w:pPr>
      <w:r>
        <w:t>Archived data shall remain subject to classification, access control, retention, and disposal requirements.</w:t>
      </w:r>
    </w:p>
    <w:p>
      <w:pPr>
        <w:pStyle w:val="ListBullet"/>
      </w:pPr>
      <w:r>
        <w:t>Personal data shall be handled in accordance with applicable privacy requirements, consent obligations, data subject rights processes, and approved privacy notices.</w:t>
      </w:r>
    </w:p>
    <w:p>
      <w:pPr>
        <w:pStyle w:val="ListBullet"/>
      </w:pPr>
      <w:r>
        <w:t>Security, privacy, legal, and compliance teams shall be consulted when data handling activities may involve regulated data, cross-border transfers, high-risk processing, litigation, regulatory inquiry, or significant business risk.</w:t>
      </w:r>
    </w:p>
    <w:p>
      <w:pPr>
        <w:pStyle w:val="ListBullet"/>
      </w:pPr>
      <w:r>
        <w:t>Personnel shall complete data handling and information protection training appropriate to their role and level of access.</w:t>
      </w:r>
    </w:p>
    <w:p>
      <w:pPr>
        <w:pStyle w:val="ListBullet"/>
      </w:pPr>
      <w:r>
        <w:t>Personnel shall report suspected data mishandling, unauthorised disclosure, unauthorised storage, retention violations, disposal failures, or data loss through the organisation’s incident reporting process.</w:t>
      </w:r>
    </w:p>
    <w:p>
      <w:pPr>
        <w:pStyle w:val="ListBullet"/>
      </w:pPr>
      <w:r>
        <w:t>Data management records, including classification decisions, retention schedules, disposal evidence, legal holds, exceptions, and access review evidence, shall be retained as organisational records according to the approved retention schedule.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organisational commitment to effective data management, provides resources, and ensures business leaders enforce this policy.</w:t>
            </w:r>
          </w:p>
        </w:tc>
      </w:tr>
      <w:tr>
        <w:tc>
          <w:tcPr>
            <w:tcW w:type="dxa" w:w="4320"/>
          </w:tcPr>
          <w:p>
            <w:r>
              <w:t>Data Governance Owner</w:t>
            </w:r>
          </w:p>
        </w:tc>
        <w:tc>
          <w:tcPr>
            <w:tcW w:type="dxa" w:w="4320"/>
          </w:tcPr>
          <w:p>
            <w:r>
              <w:t>Owns this policy, maintains the data classification scheme and retention schedule, coordinates data governance activities, and monitors policy implementation.</w:t>
            </w:r>
          </w:p>
        </w:tc>
      </w:tr>
      <w:tr>
        <w:tc>
          <w:tcPr>
            <w:tcW w:type="dxa" w:w="4320"/>
          </w:tcPr>
          <w:p>
            <w:r>
              <w:t>Data Owners</w:t>
            </w:r>
          </w:p>
        </w:tc>
        <w:tc>
          <w:tcPr>
            <w:tcW w:type="dxa" w:w="4320"/>
          </w:tcPr>
          <w:p>
            <w:r>
              <w:t>Classify data, approve access and sharing, define retention needs, authorise disposal, validate data quality, and ensure data is handled according to this policy.</w:t>
            </w:r>
          </w:p>
        </w:tc>
      </w:tr>
      <w:tr>
        <w:tc>
          <w:tcPr>
            <w:tcW w:type="dxa" w:w="4320"/>
          </w:tcPr>
          <w:p>
            <w:r>
              <w:t>System Owners</w:t>
            </w:r>
          </w:p>
        </w:tc>
        <w:tc>
          <w:tcPr>
            <w:tcW w:type="dxa" w:w="4320"/>
          </w:tcPr>
          <w:p>
            <w:r>
              <w:t>Implement technical controls for storage, access, logging, backup, retention, and disposal within systems under their responsibility.</w:t>
            </w:r>
          </w:p>
        </w:tc>
      </w:tr>
      <w:tr>
        <w:tc>
          <w:tcPr>
            <w:tcW w:type="dxa" w:w="4320"/>
          </w:tcPr>
          <w:p>
            <w:r>
              <w:t>Information Security Team</w:t>
            </w:r>
          </w:p>
        </w:tc>
        <w:tc>
          <w:tcPr>
            <w:tcW w:type="dxa" w:w="4320"/>
          </w:tcPr>
          <w:p>
            <w:r>
              <w:t>Defines security requirements for sensitive data, monitors for unauthorised access or exposure, supports secure disposal standards, and investigates suspected data security incidents.</w:t>
            </w:r>
          </w:p>
        </w:tc>
      </w:tr>
      <w:tr>
        <w:tc>
          <w:tcPr>
            <w:tcW w:type="dxa" w:w="4320"/>
          </w:tcPr>
          <w:p>
            <w:r>
              <w:t>Privacy Officer / Privacy Lead</w:t>
            </w:r>
          </w:p>
        </w:tc>
        <w:tc>
          <w:tcPr>
            <w:tcW w:type="dxa" w:w="4320"/>
          </w:tcPr>
          <w:p>
            <w:r>
              <w:t>Advises on personal data handling, privacy notices, consent, data subject rights, cross-border transfers, and privacy-related retention or disposal requirements.</w:t>
            </w:r>
          </w:p>
        </w:tc>
      </w:tr>
      <w:tr>
        <w:tc>
          <w:tcPr>
            <w:tcW w:type="dxa" w:w="4320"/>
          </w:tcPr>
          <w:p>
            <w:r>
              <w:t>Legal Team</w:t>
            </w:r>
          </w:p>
        </w:tc>
        <w:tc>
          <w:tcPr>
            <w:tcW w:type="dxa" w:w="4320"/>
          </w:tcPr>
          <w:p>
            <w:r>
              <w:t>Defines legal hold requirements, advises on legal and contractual retention obligations, supports dispute preservation, and approves release of legal holds.</w:t>
            </w:r>
          </w:p>
        </w:tc>
      </w:tr>
      <w:tr>
        <w:tc>
          <w:tcPr>
            <w:tcW w:type="dxa" w:w="4320"/>
          </w:tcPr>
          <w:p>
            <w:r>
              <w:t>Records Management Function</w:t>
            </w:r>
          </w:p>
        </w:tc>
        <w:tc>
          <w:tcPr>
            <w:tcW w:type="dxa" w:w="4320"/>
          </w:tcPr>
          <w:p>
            <w:r>
              <w:t>Maintains records management standards, supports retention schedule implementation, coordinates archiving and disposal practices, and maintains disposal evidence where applicable.</w:t>
            </w:r>
          </w:p>
        </w:tc>
      </w:tr>
      <w:tr>
        <w:tc>
          <w:tcPr>
            <w:tcW w:type="dxa" w:w="4320"/>
          </w:tcPr>
          <w:p>
            <w:r>
              <w:t>IT Operations</w:t>
            </w:r>
          </w:p>
        </w:tc>
        <w:tc>
          <w:tcPr>
            <w:tcW w:type="dxa" w:w="4320"/>
          </w:tcPr>
          <w:p>
            <w:r>
              <w:t>Maintains approved storage platforms, backup services, endpoint controls, media sanitisation processes, system lifecycle controls, and technical disposal capabilities.</w:t>
            </w:r>
          </w:p>
        </w:tc>
      </w:tr>
      <w:tr>
        <w:tc>
          <w:tcPr>
            <w:tcW w:type="dxa" w:w="4320"/>
          </w:tcPr>
          <w:p>
            <w:r>
              <w:t>Procurement / Vendor Management</w:t>
            </w:r>
          </w:p>
        </w:tc>
        <w:tc>
          <w:tcPr>
            <w:tcW w:type="dxa" w:w="4320"/>
          </w:tcPr>
          <w:p>
            <w:r>
              <w:t>Ensures third-party data processing arrangements include appropriate data protection, retention, return, disposal, audit, and breach notification obligations.</w:t>
            </w:r>
          </w:p>
        </w:tc>
      </w:tr>
      <w:tr>
        <w:tc>
          <w:tcPr>
            <w:tcW w:type="dxa" w:w="4320"/>
          </w:tcPr>
          <w:p>
            <w:r>
              <w:t>Managers</w:t>
            </w:r>
          </w:p>
        </w:tc>
        <w:tc>
          <w:tcPr>
            <w:tcW w:type="dxa" w:w="4320"/>
          </w:tcPr>
          <w:p>
            <w:r>
              <w:t>Ensure personnel understand and follow data handling requirements, approve business use of data within their area, and support remediation of policy violations.</w:t>
            </w:r>
          </w:p>
        </w:tc>
      </w:tr>
      <w:tr>
        <w:tc>
          <w:tcPr>
            <w:tcW w:type="dxa" w:w="4320"/>
          </w:tcPr>
          <w:p>
            <w:r>
              <w:t>Users</w:t>
            </w:r>
          </w:p>
        </w:tc>
        <w:tc>
          <w:tcPr>
            <w:tcW w:type="dxa" w:w="4320"/>
          </w:tcPr>
          <w:p>
            <w:r>
              <w:t>Classify, handle, store, share, retain, and dispose of data according to this policy and report suspected data incidents or violations promptly.</w:t>
            </w:r>
          </w:p>
        </w:tc>
      </w:tr>
      <w:tr>
        <w:tc>
          <w:tcPr>
            <w:tcW w:type="dxa" w:w="4320"/>
          </w:tcPr>
          <w:p>
            <w:r>
              <w:t>Third Parties</w:t>
            </w:r>
          </w:p>
        </w:tc>
        <w:tc>
          <w:tcPr>
            <w:tcW w:type="dxa" w:w="4320"/>
          </w:tcPr>
          <w:p>
            <w:r>
              <w:t>Protect organisational data according to contractual obligations, use data only for authorised purposes, and return or dispose of data as required.</w:t>
            </w:r>
          </w:p>
        </w:tc>
      </w:tr>
      <w:tr>
        <w:tc>
          <w:tcPr>
            <w:tcW w:type="dxa" w:w="4320"/>
          </w:tcPr>
          <w:p>
            <w:r>
              <w:t>Internal Audit / Compliance</w:t>
            </w:r>
          </w:p>
        </w:tc>
        <w:tc>
          <w:tcPr>
            <w:tcW w:type="dxa" w:w="4320"/>
          </w:tcPr>
          <w:p>
            <w:r>
              <w:t>Performs independent or periodic assessments of data management controls, reports findings, and tracks remediation where applicable.</w:t>
            </w:r>
          </w:p>
        </w:tc>
      </w:tr>
    </w:tbl>
    <w:p>
      <w:pPr>
        <w:pStyle w:val="Heading2"/>
      </w:pPr>
      <w:r>
        <w:t>Compliance, Monitoring &amp; Enforcement</w:t>
      </w:r>
    </w:p>
    <w:p>
      <w:r>
        <w:t>Compliance with this policy shall be monitored through a combination of governance reviews, technical controls, management oversight, and independent assurance activities.</w:t>
      </w:r>
    </w:p>
    <w:p>
      <w:r>
        <w:t>The organisation shall perform monitoring activities appropriate to data sensitivity and risk, including: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Expected Evidence</w:t>
            </w:r>
          </w:p>
        </w:tc>
      </w:tr>
      <w:tr>
        <w:tc>
          <w:tcPr>
            <w:tcW w:type="dxa" w:w="2160"/>
          </w:tcPr>
          <w:p>
            <w:r>
              <w:t>Review of data repository inventory</w:t>
            </w:r>
          </w:p>
        </w:tc>
        <w:tc>
          <w:tcPr>
            <w:tcW w:type="dxa" w:w="2160"/>
          </w:tcPr>
          <w:p>
            <w:r>
              <w:t>At least annually and upon major system changes</w:t>
            </w:r>
          </w:p>
        </w:tc>
        <w:tc>
          <w:tcPr>
            <w:tcW w:type="dxa" w:w="2160"/>
          </w:tcPr>
          <w:p>
            <w:r>
              <w:t>Data Governance Owner / System Owners</w:t>
            </w:r>
          </w:p>
        </w:tc>
        <w:tc>
          <w:tcPr>
            <w:tcW w:type="dxa" w:w="2160"/>
          </w:tcPr>
          <w:p>
            <w:r>
              <w:t>Updated inventory, ownership records</w:t>
            </w:r>
          </w:p>
        </w:tc>
      </w:tr>
      <w:tr>
        <w:tc>
          <w:tcPr>
            <w:tcW w:type="dxa" w:w="2160"/>
          </w:tcPr>
          <w:p>
            <w:r>
              <w:t>Review of classification for key repositories</w:t>
            </w:r>
          </w:p>
        </w:tc>
        <w:tc>
          <w:tcPr>
            <w:tcW w:type="dxa" w:w="2160"/>
          </w:tcPr>
          <w:p>
            <w:r>
              <w:t>At least annually</w:t>
            </w:r>
          </w:p>
        </w:tc>
        <w:tc>
          <w:tcPr>
            <w:tcW w:type="dxa" w:w="2160"/>
          </w:tcPr>
          <w:p>
            <w:r>
              <w:t>Data Owners</w:t>
            </w:r>
          </w:p>
        </w:tc>
        <w:tc>
          <w:tcPr>
            <w:tcW w:type="dxa" w:w="2160"/>
          </w:tcPr>
          <w:p>
            <w:r>
              <w:t>Classification records, review approvals</w:t>
            </w:r>
          </w:p>
        </w:tc>
      </w:tr>
      <w:tr>
        <w:tc>
          <w:tcPr>
            <w:tcW w:type="dxa" w:w="2160"/>
          </w:tcPr>
          <w:p>
            <w:r>
              <w:t>Access reviews for Confidential and Restricted repositories</w:t>
            </w:r>
          </w:p>
        </w:tc>
        <w:tc>
          <w:tcPr>
            <w:tcW w:type="dxa" w:w="2160"/>
          </w:tcPr>
          <w:p>
            <w:r>
              <w:t>At least quarterly for high-risk repositories and at least annually for others</w:t>
            </w:r>
          </w:p>
        </w:tc>
        <w:tc>
          <w:tcPr>
            <w:tcW w:type="dxa" w:w="2160"/>
          </w:tcPr>
          <w:p>
            <w:r>
              <w:t>Data Owners / System Owners</w:t>
            </w:r>
          </w:p>
        </w:tc>
        <w:tc>
          <w:tcPr>
            <w:tcW w:type="dxa" w:w="2160"/>
          </w:tcPr>
          <w:p>
            <w:r>
              <w:t>Access review results, remediation records</w:t>
            </w:r>
          </w:p>
        </w:tc>
      </w:tr>
      <w:tr>
        <w:tc>
          <w:tcPr>
            <w:tcW w:type="dxa" w:w="2160"/>
          </w:tcPr>
          <w:p>
            <w:r>
              <w:t>Review of retention schedule</w:t>
            </w:r>
          </w:p>
        </w:tc>
        <w:tc>
          <w:tcPr>
            <w:tcW w:type="dxa" w:w="2160"/>
          </w:tcPr>
          <w:p>
            <w:r>
              <w:t>At least annually</w:t>
            </w:r>
          </w:p>
        </w:tc>
        <w:tc>
          <w:tcPr>
            <w:tcW w:type="dxa" w:w="2160"/>
          </w:tcPr>
          <w:p>
            <w:r>
              <w:t>Data Governance Owner / Legal / Records Management</w:t>
            </w:r>
          </w:p>
        </w:tc>
        <w:tc>
          <w:tcPr>
            <w:tcW w:type="dxa" w:w="2160"/>
          </w:tcPr>
          <w:p>
            <w:r>
              <w:t>Approved retention schedule</w:t>
            </w:r>
          </w:p>
        </w:tc>
      </w:tr>
      <w:tr>
        <w:tc>
          <w:tcPr>
            <w:tcW w:type="dxa" w:w="2160"/>
          </w:tcPr>
          <w:p>
            <w:r>
              <w:t>Disposal evidence review</w:t>
            </w:r>
          </w:p>
        </w:tc>
        <w:tc>
          <w:tcPr>
            <w:tcW w:type="dxa" w:w="2160"/>
          </w:tcPr>
          <w:p>
            <w:r>
              <w:t>At least annually</w:t>
            </w:r>
          </w:p>
        </w:tc>
        <w:tc>
          <w:tcPr>
            <w:tcW w:type="dxa" w:w="2160"/>
          </w:tcPr>
          <w:p>
            <w:r>
              <w:t>Records Management / IT Operations</w:t>
            </w:r>
          </w:p>
        </w:tc>
        <w:tc>
          <w:tcPr>
            <w:tcW w:type="dxa" w:w="2160"/>
          </w:tcPr>
          <w:p>
            <w:r>
              <w:t>Disposal logs, destruction certificates</w:t>
            </w:r>
          </w:p>
        </w:tc>
      </w:tr>
      <w:tr>
        <w:tc>
          <w:tcPr>
            <w:tcW w:type="dxa" w:w="2160"/>
          </w:tcPr>
          <w:p>
            <w:r>
              <w:t>Sensitive data discovery or sampling</w:t>
            </w:r>
          </w:p>
        </w:tc>
        <w:tc>
          <w:tcPr>
            <w:tcW w:type="dxa" w:w="2160"/>
          </w:tcPr>
          <w:p>
            <w:r>
              <w:t>Risk-based, at least annually for critical environments</w:t>
            </w:r>
          </w:p>
        </w:tc>
        <w:tc>
          <w:tcPr>
            <w:tcW w:type="dxa" w:w="2160"/>
          </w:tcPr>
          <w:p>
            <w:r>
              <w:t>Information Security Team</w:t>
            </w:r>
          </w:p>
        </w:tc>
        <w:tc>
          <w:tcPr>
            <w:tcW w:type="dxa" w:w="2160"/>
          </w:tcPr>
          <w:p>
            <w:r>
              <w:t>Discovery reports, remediation tickets</w:t>
            </w:r>
          </w:p>
        </w:tc>
      </w:tr>
      <w:tr>
        <w:tc>
          <w:tcPr>
            <w:tcW w:type="dxa" w:w="2160"/>
          </w:tcPr>
          <w:p>
            <w:r>
              <w:t>Third-party data handling review</w:t>
            </w:r>
          </w:p>
        </w:tc>
        <w:tc>
          <w:tcPr>
            <w:tcW w:type="dxa" w:w="2160"/>
          </w:tcPr>
          <w:p>
            <w:r>
              <w:t>At onboarding, renewal, and risk-based intervals</w:t>
            </w:r>
          </w:p>
        </w:tc>
        <w:tc>
          <w:tcPr>
            <w:tcW w:type="dxa" w:w="2160"/>
          </w:tcPr>
          <w:p>
            <w:r>
              <w:t>Vendor Management / Data Owners</w:t>
            </w:r>
          </w:p>
        </w:tc>
        <w:tc>
          <w:tcPr>
            <w:tcW w:type="dxa" w:w="2160"/>
          </w:tcPr>
          <w:p>
            <w:r>
              <w:t>Due diligence records, contractual evidence</w:t>
            </w:r>
          </w:p>
        </w:tc>
      </w:tr>
      <w:tr>
        <w:tc>
          <w:tcPr>
            <w:tcW w:type="dxa" w:w="2160"/>
          </w:tcPr>
          <w:p>
            <w:r>
              <w:t>Backup retention review</w:t>
            </w:r>
          </w:p>
        </w:tc>
        <w:tc>
          <w:tcPr>
            <w:tcW w:type="dxa" w:w="2160"/>
          </w:tcPr>
          <w:p>
            <w:r>
              <w:t>At least annually</w:t>
            </w:r>
          </w:p>
        </w:tc>
        <w:tc>
          <w:tcPr>
            <w:tcW w:type="dxa" w:w="2160"/>
          </w:tcPr>
          <w:p>
            <w:r>
              <w:t>IT Operations</w:t>
            </w:r>
          </w:p>
        </w:tc>
        <w:tc>
          <w:tcPr>
            <w:tcW w:type="dxa" w:w="2160"/>
          </w:tcPr>
          <w:p>
            <w:r>
              <w:t>Backup policy, retention reports</w:t>
            </w:r>
          </w:p>
        </w:tc>
      </w:tr>
      <w:tr>
        <w:tc>
          <w:tcPr>
            <w:tcW w:type="dxa" w:w="2160"/>
          </w:tcPr>
          <w:p>
            <w:r>
              <w:t>Legal hold compliance review</w:t>
            </w:r>
          </w:p>
        </w:tc>
        <w:tc>
          <w:tcPr>
            <w:tcW w:type="dxa" w:w="2160"/>
          </w:tcPr>
          <w:p>
            <w:r>
              <w:t>During active holds and upon release</w:t>
            </w:r>
          </w:p>
        </w:tc>
        <w:tc>
          <w:tcPr>
            <w:tcW w:type="dxa" w:w="2160"/>
          </w:tcPr>
          <w:p>
            <w:r>
              <w:t>Legal Team</w:t>
            </w:r>
          </w:p>
        </w:tc>
        <w:tc>
          <w:tcPr>
            <w:tcW w:type="dxa" w:w="2160"/>
          </w:tcPr>
          <w:p>
            <w:r>
              <w:t>Hold notices, custodian acknowledgements</w:t>
            </w:r>
          </w:p>
        </w:tc>
      </w:tr>
      <w:tr>
        <w:tc>
          <w:tcPr>
            <w:tcW w:type="dxa" w:w="2160"/>
          </w:tcPr>
          <w:p>
            <w:r>
              <w:t>Policy compliance assessment</w:t>
            </w:r>
          </w:p>
        </w:tc>
        <w:tc>
          <w:tcPr>
            <w:tcW w:type="dxa" w:w="2160"/>
          </w:tcPr>
          <w:p>
            <w:r>
              <w:t>At least annually</w:t>
            </w:r>
          </w:p>
        </w:tc>
        <w:tc>
          <w:tcPr>
            <w:tcW w:type="dxa" w:w="2160"/>
          </w:tcPr>
          <w:p>
            <w:r>
              <w:t>Compliance / Internal Audit</w:t>
            </w:r>
          </w:p>
        </w:tc>
        <w:tc>
          <w:tcPr>
            <w:tcW w:type="dxa" w:w="2160"/>
          </w:tcPr>
          <w:p>
            <w:r>
              <w:t>Assessment report, corrective action plan</w:t>
            </w:r>
          </w:p>
        </w:tc>
      </w:tr>
    </w:tbl>
    <w:p>
      <w:r>
        <w:t>Non-compliance may result in corrective action, including but not limited to:</w:t>
      </w:r>
    </w:p>
    <w:p>
      <w:pPr>
        <w:pStyle w:val="ListBullet"/>
      </w:pPr>
      <w:r>
        <w:t>Mandatory retraining.</w:t>
      </w:r>
    </w:p>
    <w:p>
      <w:pPr>
        <w:pStyle w:val="ListBullet"/>
      </w:pPr>
      <w:r>
        <w:t>Revocation or restriction of data access.</w:t>
      </w:r>
    </w:p>
    <w:p>
      <w:pPr>
        <w:pStyle w:val="ListBullet"/>
      </w:pPr>
      <w:r>
        <w:t>Removal of unauthorised data stores or tools.</w:t>
      </w:r>
    </w:p>
    <w:p>
      <w:pPr>
        <w:pStyle w:val="ListBullet"/>
      </w:pPr>
      <w:r>
        <w:t>Technical remediation or configuration changes.</w:t>
      </w:r>
    </w:p>
    <w:p>
      <w:pPr>
        <w:pStyle w:val="ListBullet"/>
      </w:pPr>
      <w:r>
        <w:t>Formal management escalation.</w:t>
      </w:r>
    </w:p>
    <w:p>
      <w:pPr>
        <w:pStyle w:val="ListBullet"/>
      </w:pPr>
      <w:r>
        <w:t>Contractual remedies for third parties.</w:t>
      </w:r>
    </w:p>
    <w:p>
      <w:pPr>
        <w:pStyle w:val="ListBullet"/>
      </w:pPr>
      <w:r>
        <w:t>Disciplinary action up to and including termination of employment.</w:t>
      </w:r>
    </w:p>
    <w:p>
      <w:pPr>
        <w:pStyle w:val="ListBullet"/>
      </w:pPr>
      <w:r>
        <w:t>Legal action where misconduct, negligence, or unlawful activity is identified.</w:t>
      </w:r>
    </w:p>
    <w:p>
      <w:r>
        <w:t>Suspected or confirmed unauthorised disclosure, loss, alteration, destruction, or misuse of Confidential or Restricted data shall be handled through the organisation’s incident response process.</w:t>
      </w:r>
    </w:p>
    <w:p>
      <w:r>
        <w:t>Control failures, overdue remediation actions, unauthorised repositories, retention breaches, or disposal failures shall be tracked to resolution using the organisation’s approved risk, issue, or corrective action management process.</w:t>
      </w:r>
    </w:p>
    <w:p>
      <w:pPr>
        <w:pStyle w:val="Heading2"/>
      </w:pPr>
      <w:r>
        <w:t>Exceptions</w:t>
      </w:r>
    </w:p>
    <w:p>
      <w:r>
        <w:t>Exceptions to this policy shall be permitted only where there is a documented business, legal, technical, or operational justification and the associated risk has been reviewed and approved.</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details of the person requesting the exception.</w:t>
            </w:r>
          </w:p>
        </w:tc>
      </w:tr>
      <w:tr>
        <w:tc>
          <w:tcPr>
            <w:tcW w:type="dxa" w:w="4320"/>
          </w:tcPr>
          <w:p>
            <w:r>
              <w:t>Policy requirement affected</w:t>
            </w:r>
          </w:p>
        </w:tc>
        <w:tc>
          <w:tcPr>
            <w:tcW w:type="dxa" w:w="4320"/>
          </w:tcPr>
          <w:p>
            <w:r>
              <w:t>The specific requirement that cannot be met.</w:t>
            </w:r>
          </w:p>
        </w:tc>
      </w:tr>
      <w:tr>
        <w:tc>
          <w:tcPr>
            <w:tcW w:type="dxa" w:w="4320"/>
          </w:tcPr>
          <w:p>
            <w:r>
              <w:t>Business justification</w:t>
            </w:r>
          </w:p>
        </w:tc>
        <w:tc>
          <w:tcPr>
            <w:tcW w:type="dxa" w:w="4320"/>
          </w:tcPr>
          <w:p>
            <w:r>
              <w:t>Explanation of why the exception is necessary.</w:t>
            </w:r>
          </w:p>
        </w:tc>
      </w:tr>
      <w:tr>
        <w:tc>
          <w:tcPr>
            <w:tcW w:type="dxa" w:w="4320"/>
          </w:tcPr>
          <w:p>
            <w:r>
              <w:t>Data affected</w:t>
            </w:r>
          </w:p>
        </w:tc>
        <w:tc>
          <w:tcPr>
            <w:tcW w:type="dxa" w:w="4320"/>
          </w:tcPr>
          <w:p>
            <w:r>
              <w:t>Data category, classification, approximate volume, location, and owner.</w:t>
            </w:r>
          </w:p>
        </w:tc>
      </w:tr>
      <w:tr>
        <w:tc>
          <w:tcPr>
            <w:tcW w:type="dxa" w:w="4320"/>
          </w:tcPr>
          <w:p>
            <w:r>
              <w:t>Risk assessment</w:t>
            </w:r>
          </w:p>
        </w:tc>
        <w:tc>
          <w:tcPr>
            <w:tcW w:type="dxa" w:w="4320"/>
          </w:tcPr>
          <w:p>
            <w:r>
              <w:t>Potential impact to confidentiality, integrity, availability, privacy, legal obligations, and business operations.</w:t>
            </w:r>
          </w:p>
        </w:tc>
      </w:tr>
      <w:tr>
        <w:tc>
          <w:tcPr>
            <w:tcW w:type="dxa" w:w="4320"/>
          </w:tcPr>
          <w:p>
            <w:r>
              <w:t>Compensating controls</w:t>
            </w:r>
          </w:p>
        </w:tc>
        <w:tc>
          <w:tcPr>
            <w:tcW w:type="dxa" w:w="4320"/>
          </w:tcPr>
          <w:p>
            <w:r>
              <w:t>Safeguards that will reduce risk during the exception period.</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required to return to compliance.</w:t>
            </w:r>
          </w:p>
        </w:tc>
      </w:tr>
      <w:tr>
        <w:tc>
          <w:tcPr>
            <w:tcW w:type="dxa" w:w="4320"/>
          </w:tcPr>
          <w:p>
            <w:r>
              <w:t>Approvals</w:t>
            </w:r>
          </w:p>
        </w:tc>
        <w:tc>
          <w:tcPr>
            <w:tcW w:type="dxa" w:w="4320"/>
          </w:tcPr>
          <w:p>
            <w:r>
              <w:t>Data owner, risk owner, Information Security, Legal or Privacy where applicable, and authorised management approver.</w:t>
            </w:r>
          </w:p>
        </w:tc>
      </w:tr>
    </w:tbl>
    <w:p>
      <w:r>
        <w:t>Exceptions shall:</w:t>
      </w:r>
    </w:p>
    <w:p>
      <w:pPr>
        <w:pStyle w:val="ListBullet"/>
      </w:pPr>
      <w:r>
        <w:t>Be documented in the approved exception register.</w:t>
      </w:r>
    </w:p>
    <w:p>
      <w:pPr>
        <w:pStyle w:val="ListBullet"/>
      </w:pPr>
      <w:r>
        <w:t>Be time-bound and reviewed before expiry.</w:t>
      </w:r>
    </w:p>
    <w:p>
      <w:pPr>
        <w:pStyle w:val="ListBullet"/>
      </w:pPr>
      <w:r>
        <w:t>Include compensating controls where feasible.</w:t>
      </w:r>
    </w:p>
    <w:p>
      <w:pPr>
        <w:pStyle w:val="ListBullet"/>
      </w:pPr>
      <w:r>
        <w:t>Not be used to avoid legal hold, regulatory, contractual, or privacy obligations.</w:t>
      </w:r>
    </w:p>
    <w:p>
      <w:pPr>
        <w:pStyle w:val="ListBullet"/>
      </w:pPr>
      <w:r>
        <w:t>Be revoked if the risk changes materially or compensating controls are not maintained.</w:t>
      </w:r>
    </w:p>
    <w:p>
      <w:r>
        <w:t>Standing or indefinite exceptions shall not be permitted unless approved by executive management as a formally accepted risk and reviewed at least annually.</w:t>
      </w:r>
    </w:p>
    <w:p>
      <w:pPr>
        <w:pStyle w:val="Heading2"/>
      </w:pPr>
      <w:r>
        <w:t>Review &amp; Maintenance</w:t>
      </w:r>
    </w:p>
    <w:p>
      <w:r>
        <w:t>This policy shall be reviewed at least annually and whenever significant changes occur that may affect data management requirements, including:</w:t>
      </w:r>
    </w:p>
    <w:p>
      <w:pPr>
        <w:pStyle w:val="ListBullet"/>
      </w:pPr>
      <w:r>
        <w:t>Introduction of new systems, cloud platforms, analytics tools, or data repositories.</w:t>
      </w:r>
    </w:p>
    <w:p>
      <w:pPr>
        <w:pStyle w:val="ListBullet"/>
      </w:pPr>
      <w:r>
        <w:t>Material changes to business processes or data usage.</w:t>
      </w:r>
    </w:p>
    <w:p>
      <w:pPr>
        <w:pStyle w:val="ListBullet"/>
      </w:pPr>
      <w:r>
        <w:t>New or changed legal, regulatory, contractual, privacy, or audit requirements.</w:t>
      </w:r>
    </w:p>
    <w:p>
      <w:pPr>
        <w:pStyle w:val="ListBullet"/>
      </w:pPr>
      <w:r>
        <w:t>Significant security incidents involving organisational data.</w:t>
      </w:r>
    </w:p>
    <w:p>
      <w:pPr>
        <w:pStyle w:val="ListBullet"/>
      </w:pPr>
      <w:r>
        <w:t>Changes to the organisation’s risk appetite or data protection strategy.</w:t>
      </w:r>
    </w:p>
    <w:p>
      <w:pPr>
        <w:pStyle w:val="ListBullet"/>
      </w:pPr>
      <w:r>
        <w:t>Findings from audits, assessments, access reviews, incident reviews, or data discovery activities.</w:t>
      </w:r>
    </w:p>
    <w:p>
      <w:pPr>
        <w:pStyle w:val="ListBullet"/>
      </w:pPr>
      <w:r>
        <w:t>Changes to approved classification, retention, backup, archival, or disposal processes.</w:t>
      </w:r>
    </w:p>
    <w:p>
      <w:r>
        <w:t>The Data Governance Owner shall coordinate the review of this policy with relevant stakeholders, including Information Security, Legal, Privacy, Records Management, IT Operations, Compliance, and key business data owners.</w:t>
      </w:r>
    </w:p>
    <w:p>
      <w:r>
        <w:t>Policy updates shall be approved according to the organisation’s governance process and communicated to affected personnel. Superseded versions shall be retained according to the approved records retention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