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HIPAA Applicability &amp; Entity Type Determination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[POL-HIPAA-001]</w:t>
            </w:r>
          </w:p>
        </w:tc>
        <w:tc>
          <w:tcPr>
            <w:tcW w:type="dxa" w:w="1440"/>
          </w:tcPr>
          <w:p>
            <w:r>
              <w:t>1.0</w:t>
            </w:r>
          </w:p>
        </w:tc>
        <w:tc>
          <w:tcPr>
            <w:tcW w:type="dxa" w:w="1440"/>
          </w:tcPr>
          <w:p>
            <w:r>
              <w:t>Privacy Officer</w:t>
            </w:r>
          </w:p>
        </w:tc>
        <w:tc>
          <w:tcPr>
            <w:tcW w:type="dxa" w:w="1440"/>
          </w:tcPr>
          <w:p>
            <w:r>
              <w:t>[Effective Date]</w:t>
            </w:r>
          </w:p>
        </w:tc>
        <w:tc>
          <w:tcPr>
            <w:tcW w:type="dxa" w:w="1440"/>
          </w:tcPr>
          <w:p>
            <w:r>
              <w:t>HIPAA</w:t>
            </w:r>
          </w:p>
        </w:tc>
        <w:tc>
          <w:tcPr>
            <w:tcW w:type="dxa" w:w="1440"/>
          </w:tcPr>
          <w:p>
            <w:r>
              <w:t>Internal</w:t>
            </w:r>
          </w:p>
        </w:tc>
      </w:tr>
    </w:tbl>
    <w:p>
      <w:pPr>
        <w:pStyle w:val="Heading2"/>
      </w:pPr>
      <w:r>
        <w:t>Purpose</w:t>
      </w:r>
    </w:p>
    <w:p>
      <w:r>
        <w:t>This Policy establishes the mandatory requirements for determining and documenting the organisation’s status under HIPAA as a Covered Entity, Business Associate, Hybrid Entity, or non-regulated entity for each applicable business activity, function, service, product, and legal entity.</w:t>
      </w:r>
    </w:p>
    <w:p>
      <w:r>
        <w:t>The purpose of this Policy is to ensure that the organisation:</w:t>
      </w:r>
    </w:p>
    <w:p>
      <w:pPr>
        <w:pStyle w:val="ListBullet"/>
      </w:pPr>
      <w:r>
        <w:t>Correctly identifies when HIPAA applies to its operations.</w:t>
      </w:r>
    </w:p>
    <w:p>
      <w:pPr>
        <w:pStyle w:val="ListBullet"/>
      </w:pPr>
      <w:r>
        <w:t>Determines whether it acts as a Covered Entity, Business Associate, or Hybrid Entity.</w:t>
      </w:r>
    </w:p>
    <w:p>
      <w:pPr>
        <w:pStyle w:val="ListBullet"/>
      </w:pPr>
      <w:r>
        <w:t>Maintains accurate records supporting entity type determinations.</w:t>
      </w:r>
    </w:p>
    <w:p>
      <w:pPr>
        <w:pStyle w:val="ListBullet"/>
      </w:pPr>
      <w:r>
        <w:t>Applies appropriate privacy, security, breach notification, contractual, and governance requirements based on the organisation’s role.</w:t>
      </w:r>
    </w:p>
    <w:p>
      <w:pPr>
        <w:pStyle w:val="ListBullet"/>
      </w:pPr>
      <w:r>
        <w:t>Prevents under-classification, inconsistent treatment of protected health information, and unmanaged regulatory exposure.</w:t>
      </w:r>
    </w:p>
    <w:p>
      <w:pPr>
        <w:pStyle w:val="Heading2"/>
      </w:pPr>
      <w:r>
        <w:t>Scope</w:t>
      </w:r>
    </w:p>
    <w:p>
      <w:r>
        <w:t>This Policy applies to:</w:t>
      </w:r>
    </w:p>
    <w:p>
      <w:pPr>
        <w:pStyle w:val="ListBullet"/>
      </w:pPr>
      <w:r>
        <w:t>All workforce members, including employees, contractors, temporary staff, interns, volunteers, and other personnel acting on behalf of the organisation.</w:t>
      </w:r>
    </w:p>
    <w:p>
      <w:pPr>
        <w:pStyle w:val="ListBullet"/>
      </w:pPr>
      <w:r>
        <w:t>All legal entities, business units, subsidiaries, departments, programs, services, systems, applications, and products operated by or for the organisation.</w:t>
      </w:r>
    </w:p>
    <w:p>
      <w:pPr>
        <w:pStyle w:val="ListBullet"/>
      </w:pPr>
      <w:r>
        <w:t>All activities involving the creation, receipt, maintenance, transmission, use, disclosure, storage, access, or processing of health information.</w:t>
      </w:r>
    </w:p>
    <w:p>
      <w:pPr>
        <w:pStyle w:val="ListBullet"/>
      </w:pPr>
      <w:r>
        <w:t>All arrangements with customers, clients, providers, payers, vendors, subcontractors, partners, affiliates, and other third parties where health information may be involved.</w:t>
      </w:r>
    </w:p>
    <w:p>
      <w:pPr>
        <w:pStyle w:val="ListBullet"/>
      </w:pPr>
      <w:r>
        <w:t>All new and existing services, system implementations, product launches, acquisitions, divestitures, outsourcing arrangements, and material business changes that may affect HIPAA applicability.</w:t>
      </w:r>
    </w:p>
    <w:p>
      <w:r>
        <w:t>This Policy applies whether information is handled in electronic, paper, verbal, image, audio, video, or any other format.</w:t>
      </w:r>
    </w:p>
    <w:p>
      <w:r>
        <w:t>This Policy does not replace separate HIPAA Privacy, Security, Breach Notification, Sanctions, Training, Risk Management, Vendor Management, or Incident Response policies. Entity type determination under this Policy shall be used to identify which of those additional requirements apply.</w:t>
      </w:r>
    </w:p>
    <w:p>
      <w:pPr>
        <w:pStyle w:val="Heading2"/>
      </w:pPr>
      <w:r>
        <w:t>Policy Statements</w:t>
      </w:r>
    </w:p>
    <w:p>
      <w:pPr>
        <w:pStyle w:val="ListBullet"/>
      </w:pPr>
      <w:r>
        <w:t>The organisation shall perform a formal HIPAA applicability assessment before launching, acquiring, materially changing, or contracting for any service, business function, product, system, or relationship that involves health information.</w:t>
      </w:r>
    </w:p>
    <w:p>
      <w:pPr>
        <w:pStyle w:val="ListBullet"/>
      </w:pPr>
      <w:r>
        <w:t>The organisation shall determine whether it is acting as a Covered Entity, Business Associate, Hybrid Entity, or non-regulated entity based on the specific activity being performed and the relationship under which health information is created, received, maintained, transmitted, used, disclosed, or processed.</w:t>
      </w:r>
    </w:p>
    <w:p>
      <w:pPr>
        <w:pStyle w:val="ListBullet"/>
      </w:pPr>
      <w:r>
        <w:t>The organisation shall not assume that HIPAA does or does not apply based solely on industry sector, customer type, data sensitivity, internal terminology, or the presence of medical information.</w:t>
      </w:r>
    </w:p>
    <w:p>
      <w:pPr>
        <w:pStyle w:val="ListBullet"/>
      </w:pPr>
      <w:r>
        <w:t>The organisation shall classify itself as a Covered Entity for a function or legal entity when it performs regulated health plan, health care clearinghouse, or health care provider activities involving standard electronic health care transactions.</w:t>
      </w:r>
    </w:p>
    <w:p>
      <w:pPr>
        <w:pStyle w:val="ListBullet"/>
      </w:pPr>
      <w:r>
        <w:t>The organisation shall classify itself as a Business Associate when it creates, receives, maintains, transmits, uses, discloses, or otherwise handles protected health information on behalf of a Covered Entity or another Business Associate to perform services or functions involving that information.</w:t>
      </w:r>
    </w:p>
    <w:p>
      <w:pPr>
        <w:pStyle w:val="ListBullet"/>
      </w:pPr>
      <w:r>
        <w:t>The organisation shall classify itself as a Hybrid Entity only when it performs both regulated and non-regulated functions, formally designates its health care components, documents the designation, and implements safeguards to prevent impermissible access, use, or disclosure between regulated and non-regulated functions.</w:t>
      </w:r>
    </w:p>
    <w:p>
      <w:pPr>
        <w:pStyle w:val="ListBullet"/>
      </w:pPr>
      <w:r>
        <w:t>The organisation shall identify and document each health care component within a Hybrid Entity designation, including the departments, workforce groups, systems, data repositories, processes, and third-party relationships that perform regulated functions.</w:t>
      </w:r>
    </w:p>
    <w:p>
      <w:pPr>
        <w:pStyle w:val="ListBullet"/>
      </w:pPr>
      <w:r>
        <w:t>The organisation shall ensure that Hybrid Entity designations are approved by the Privacy Officer, Security Officer, Legal Counsel, and executive leadership before implementation.</w:t>
      </w:r>
    </w:p>
    <w:p>
      <w:pPr>
        <w:pStyle w:val="ListBullet"/>
      </w:pPr>
      <w:r>
        <w:t>The organisation shall treat any ambiguity in entity type or HIPAA applicability as requiring escalation to the Privacy Officer and Legal Counsel before health information is used, disclosed, processed, or contracted for.</w:t>
      </w:r>
    </w:p>
    <w:p>
      <w:pPr>
        <w:pStyle w:val="ListBullet"/>
      </w:pPr>
      <w:r>
        <w:t>The organisation shall maintain a HIPAA Applicability and Entity Type Register documenting each determination, the rationale, supporting evidence, approval date, accountable owner, and review date.</w:t>
      </w:r>
    </w:p>
    <w:p>
      <w:pPr>
        <w:pStyle w:val="ListBullet"/>
      </w:pPr>
      <w:r>
        <w:t>The organisation shall apply the most protective applicable HIPAA obligations when a business activity involves multiple roles, mixed data flows, or uncertainty regarding whether the organisation is acting as a Covered Entity or Business Associate.</w:t>
      </w:r>
    </w:p>
    <w:p>
      <w:pPr>
        <w:pStyle w:val="ListBullet"/>
      </w:pPr>
      <w:r>
        <w:t>The organisation shall not use a Business Associate classification to avoid Covered Entity obligations where the organisation directly performs regulated Covered Entity functions.</w:t>
      </w:r>
    </w:p>
    <w:p>
      <w:pPr>
        <w:pStyle w:val="ListBullet"/>
      </w:pPr>
      <w:r>
        <w:t>The organisation shall not use a non-regulated classification where the organisation handles protected health information on behalf of a Covered Entity or Business Associate for regulated functions or services.</w:t>
      </w:r>
    </w:p>
    <w:p>
      <w:pPr>
        <w:pStyle w:val="ListBullet"/>
      </w:pPr>
      <w:r>
        <w:t>The organisation shall ensure that contracts, statements of work, data processing arrangements, service descriptions, and customer commitments are consistent with the approved entity type determination.</w:t>
      </w:r>
    </w:p>
    <w:p>
      <w:pPr>
        <w:pStyle w:val="ListBullet"/>
      </w:pPr>
      <w:r>
        <w:t>The organisation shall execute a Business Associate Agreement before creating, receiving, maintaining, transmitting, using, disclosing, or otherwise handling protected health information as a Business Associate, unless Legal Counsel documents that no such agreement is required.</w:t>
      </w:r>
    </w:p>
    <w:p>
      <w:pPr>
        <w:pStyle w:val="ListBullet"/>
      </w:pPr>
      <w:r>
        <w:t>The organisation shall require downstream subcontractors that handle protected health information on behalf of the organisation to enter into written agreements imposing appropriate privacy, security, breach reporting, and permitted-use requirements.</w:t>
      </w:r>
    </w:p>
    <w:p>
      <w:pPr>
        <w:pStyle w:val="ListBullet"/>
      </w:pPr>
      <w:r>
        <w:t>The organisation shall ensure that entity type determinations address all relevant data flows, including intake, collection, storage, access, transmission, analytics, reporting, support, backup, archival, testing, disposal, and subcontractor processing.</w:t>
      </w:r>
    </w:p>
    <w:p>
      <w:pPr>
        <w:pStyle w:val="ListBullet"/>
      </w:pPr>
      <w:r>
        <w:t>The organisation shall identify whether health information becomes de-identified, aggregated, limited, or otherwise transformed, and shall document whether the transformed information remains subject to HIPAA requirements.</w:t>
      </w:r>
    </w:p>
    <w:p>
      <w:pPr>
        <w:pStyle w:val="ListBullet"/>
      </w:pPr>
      <w:r>
        <w:t>The organisation shall ensure that de-identification determinations are approved by qualified privacy, legal, or compliance personnel before information is treated as outside HIPAA scope.</w:t>
      </w:r>
    </w:p>
    <w:p>
      <w:pPr>
        <w:pStyle w:val="ListBullet"/>
      </w:pPr>
      <w:r>
        <w:t>The organisation shall ensure that systems containing protected health information are identified in asset inventories, risk assessments, access control reviews, incident response plans, retention schedules, and vendor management records.</w:t>
      </w:r>
    </w:p>
    <w:p>
      <w:pPr>
        <w:pStyle w:val="ListBullet"/>
      </w:pPr>
      <w:r>
        <w:t>The organisation shall assign a business owner for each regulated function, service, product, or system subject to HIPAA.</w:t>
      </w:r>
    </w:p>
    <w:p>
      <w:pPr>
        <w:pStyle w:val="ListBullet"/>
      </w:pPr>
      <w:r>
        <w:t>The organisation shall ensure that workforce members supporting regulated functions receive HIPAA training appropriate to their role and the organisation’s approved entity type.</w:t>
      </w:r>
    </w:p>
    <w:p>
      <w:pPr>
        <w:pStyle w:val="ListBullet"/>
      </w:pPr>
      <w:r>
        <w:t>The organisation shall restrict access to protected health information to authorised workforce members and approved third parties with a legitimate business need aligned to the applicable entity type determination.</w:t>
      </w:r>
    </w:p>
    <w:p>
      <w:pPr>
        <w:pStyle w:val="ListBullet"/>
      </w:pPr>
      <w:r>
        <w:t>The organisation shall ensure that non-regulated business units do not access protected health information from regulated components unless such access is permitted, approved, documented, and controlled.</w:t>
      </w:r>
    </w:p>
    <w:p>
      <w:pPr>
        <w:pStyle w:val="ListBullet"/>
      </w:pPr>
      <w:r>
        <w:t>The organisation shall evaluate mergers, acquisitions, divestitures, reorganisations, new customer relationships, and new lines of business for potential changes to HIPAA applicability before operational integration.</w:t>
      </w:r>
    </w:p>
    <w:p>
      <w:pPr>
        <w:pStyle w:val="ListBullet"/>
      </w:pPr>
      <w:r>
        <w:t>The organisation shall reassess entity type determinations when there is a material change in services, customers, contracts, data flows, systems, third parties, legal structure, or regulatory interpretation.</w:t>
      </w:r>
    </w:p>
    <w:p>
      <w:pPr>
        <w:pStyle w:val="ListBullet"/>
      </w:pPr>
      <w:r>
        <w:t>The organisation shall not begin processing protected health information for a new customer, client, or partner until HIPAA applicability, entity type, contractual requirements, and security responsibilities have been determined and approved.</w:t>
      </w:r>
    </w:p>
    <w:p>
      <w:pPr>
        <w:pStyle w:val="ListBullet"/>
      </w:pPr>
      <w:r>
        <w:t>The organisation shall ensure that marketing, sales, product, implementation, and customer success materials do not make representations about HIPAA status, compliance, or responsibilities unless approved by Privacy, Security, and Legal.</w:t>
      </w:r>
    </w:p>
    <w:p>
      <w:pPr>
        <w:pStyle w:val="ListBullet"/>
      </w:pPr>
      <w:r>
        <w:t>The organisation shall retain records of entity type determinations, approvals, related contracts, and supporting evidence in accordance with the organisation’s records retention requirements and applicable legal obligations.</w:t>
      </w:r>
    </w:p>
    <w:p>
      <w:pPr>
        <w:pStyle w:val="ListBullet"/>
      </w:pPr>
      <w:r>
        <w:t>The organisation shall monitor adherence to approved entity type determinations and shall remediate misclassifications, undocumented data flows, missing agreements, or inconsistent operational practices in a timely manner.</w:t>
      </w:r>
    </w:p>
    <w:p>
      <w:r>
        <w:t>The following classification guide shall be used as a baseline for entity type determination. Final classification shall be based on documented facts and approved by authorised reviewers.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Classification</w:t>
            </w:r>
          </w:p>
        </w:tc>
        <w:tc>
          <w:tcPr>
            <w:tcW w:type="dxa" w:w="2160"/>
          </w:tcPr>
          <w:p>
            <w:r>
              <w:t>Practical Indicators</w:t>
            </w:r>
          </w:p>
        </w:tc>
        <w:tc>
          <w:tcPr>
            <w:tcW w:type="dxa" w:w="2160"/>
          </w:tcPr>
          <w:p>
            <w:r>
              <w:t>Typical Examples</w:t>
            </w:r>
          </w:p>
        </w:tc>
        <w:tc>
          <w:tcPr>
            <w:tcW w:type="dxa" w:w="2160"/>
          </w:tcPr>
          <w:p>
            <w:r>
              <w:t>Required Outcome</w:t>
            </w:r>
          </w:p>
        </w:tc>
      </w:tr>
      <w:tr>
        <w:tc>
          <w:tcPr>
            <w:tcW w:type="dxa" w:w="2160"/>
          </w:tcPr>
          <w:p>
            <w:r>
              <w:t>Covered Entity</w:t>
            </w:r>
          </w:p>
        </w:tc>
        <w:tc>
          <w:tcPr>
            <w:tcW w:type="dxa" w:w="2160"/>
          </w:tcPr>
          <w:p>
            <w:r>
              <w:t>The organisation operates a health plan, health care clearinghouse, or certain health care provider functions involving standard electronic health care transactions.</w:t>
            </w:r>
          </w:p>
        </w:tc>
        <w:tc>
          <w:tcPr>
            <w:tcW w:type="dxa" w:w="2160"/>
          </w:tcPr>
          <w:p>
            <w:r>
              <w:t>Employee health plan administration, clinical services billing electronically, claims clearinghouse activity.</w:t>
            </w:r>
          </w:p>
        </w:tc>
        <w:tc>
          <w:tcPr>
            <w:tcW w:type="dxa" w:w="2160"/>
          </w:tcPr>
          <w:p>
            <w:r>
              <w:t>Apply HIPAA obligations directly to the regulated function or entity.</w:t>
            </w:r>
          </w:p>
        </w:tc>
      </w:tr>
      <w:tr>
        <w:tc>
          <w:tcPr>
            <w:tcW w:type="dxa" w:w="2160"/>
          </w:tcPr>
          <w:p>
            <w:r>
              <w:t>Business Associate</w:t>
            </w:r>
          </w:p>
        </w:tc>
        <w:tc>
          <w:tcPr>
            <w:tcW w:type="dxa" w:w="2160"/>
          </w:tcPr>
          <w:p>
            <w:r>
              <w:t>The organisation handles protected health information on behalf of a Covered Entity or another Business Associate to provide services or perform functions.</w:t>
            </w:r>
          </w:p>
        </w:tc>
        <w:tc>
          <w:tcPr>
            <w:tcW w:type="dxa" w:w="2160"/>
          </w:tcPr>
          <w:p>
            <w:r>
              <w:t>Claims processing, data hosting, analytics, billing support, legal services, accounting services, consulting, secure messaging, managed IT, document storage.</w:t>
            </w:r>
          </w:p>
        </w:tc>
        <w:tc>
          <w:tcPr>
            <w:tcW w:type="dxa" w:w="2160"/>
          </w:tcPr>
          <w:p>
            <w:r>
              <w:t>Execute appropriate written agreement and apply required privacy, security, and breach responsibilities.</w:t>
            </w:r>
          </w:p>
        </w:tc>
      </w:tr>
      <w:tr>
        <w:tc>
          <w:tcPr>
            <w:tcW w:type="dxa" w:w="2160"/>
          </w:tcPr>
          <w:p>
            <w:r>
              <w:t>Hybrid Entity</w:t>
            </w:r>
          </w:p>
        </w:tc>
        <w:tc>
          <w:tcPr>
            <w:tcW w:type="dxa" w:w="2160"/>
          </w:tcPr>
          <w:p>
            <w:r>
              <w:t>The organisation performs both regulated and non-regulated functions and formally designates the regulated health care components.</w:t>
            </w:r>
          </w:p>
        </w:tc>
        <w:tc>
          <w:tcPr>
            <w:tcW w:type="dxa" w:w="2160"/>
          </w:tcPr>
          <w:p>
            <w:r>
              <w:t>A university with a student health clinic, an employer with a self-insured health plan, a diversified company with a regulated health services division.</w:t>
            </w:r>
          </w:p>
        </w:tc>
        <w:tc>
          <w:tcPr>
            <w:tcW w:type="dxa" w:w="2160"/>
          </w:tcPr>
          <w:p>
            <w:r>
              <w:t>Document health care components, separate regulated functions, and control access and disclosures.</w:t>
            </w:r>
          </w:p>
        </w:tc>
      </w:tr>
      <w:tr>
        <w:tc>
          <w:tcPr>
            <w:tcW w:type="dxa" w:w="2160"/>
          </w:tcPr>
          <w:p>
            <w:r>
              <w:t>Non-Regulated Entity or Function</w:t>
            </w:r>
          </w:p>
        </w:tc>
        <w:tc>
          <w:tcPr>
            <w:tcW w:type="dxa" w:w="2160"/>
          </w:tcPr>
          <w:p>
            <w:r>
              <w:t>The organisation does not perform regulated functions and does not handle protected health information on behalf of a regulated entity.</w:t>
            </w:r>
          </w:p>
        </w:tc>
        <w:tc>
          <w:tcPr>
            <w:tcW w:type="dxa" w:w="2160"/>
          </w:tcPr>
          <w:p>
            <w:r>
              <w:t>General wellness services without regulated transactions, employment records held by an employer, consumer services not performed for a Covered Entity.</w:t>
            </w:r>
          </w:p>
        </w:tc>
        <w:tc>
          <w:tcPr>
            <w:tcW w:type="dxa" w:w="2160"/>
          </w:tcPr>
          <w:p>
            <w:r>
              <w:t>Document rationale and reassess upon change in data use, customer type, or service model.</w:t>
            </w:r>
          </w:p>
        </w:tc>
      </w:tr>
    </w:tbl>
    <w:p>
      <w:r>
        <w:t>The HIPAA Applicability and Entity Type Register shall include, at a minimum, the following fields.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Business function, product, service, or legal entity</w:t>
            </w:r>
          </w:p>
        </w:tc>
        <w:tc>
          <w:tcPr>
            <w:tcW w:type="dxa" w:w="4320"/>
          </w:tcPr>
          <w:p>
            <w:r>
              <w:t>Name and description of the activity being assessed.</w:t>
            </w:r>
          </w:p>
        </w:tc>
      </w:tr>
      <w:tr>
        <w:tc>
          <w:tcPr>
            <w:tcW w:type="dxa" w:w="4320"/>
          </w:tcPr>
          <w:p>
            <w:r>
              <w:t>Business owner</w:t>
            </w:r>
          </w:p>
        </w:tc>
        <w:tc>
          <w:tcPr>
            <w:tcW w:type="dxa" w:w="4320"/>
          </w:tcPr>
          <w:p>
            <w:r>
              <w:t>Accountable leader responsible for the activity.</w:t>
            </w:r>
          </w:p>
        </w:tc>
      </w:tr>
      <w:tr>
        <w:tc>
          <w:tcPr>
            <w:tcW w:type="dxa" w:w="4320"/>
          </w:tcPr>
          <w:p>
            <w:r>
              <w:t>Data involved</w:t>
            </w:r>
          </w:p>
        </w:tc>
        <w:tc>
          <w:tcPr>
            <w:tcW w:type="dxa" w:w="4320"/>
          </w:tcPr>
          <w:p>
            <w:r>
              <w:t>Types of health information, identifiers, source systems, and data subjects.</w:t>
            </w:r>
          </w:p>
        </w:tc>
      </w:tr>
      <w:tr>
        <w:tc>
          <w:tcPr>
            <w:tcW w:type="dxa" w:w="4320"/>
          </w:tcPr>
          <w:p>
            <w:r>
              <w:t>Data flows</w:t>
            </w:r>
          </w:p>
        </w:tc>
        <w:tc>
          <w:tcPr>
            <w:tcW w:type="dxa" w:w="4320"/>
          </w:tcPr>
          <w:p>
            <w:r>
              <w:t>How information is collected, received, created, used, stored, transmitted, disclosed, and disposed.</w:t>
            </w:r>
          </w:p>
        </w:tc>
      </w:tr>
      <w:tr>
        <w:tc>
          <w:tcPr>
            <w:tcW w:type="dxa" w:w="4320"/>
          </w:tcPr>
          <w:p>
            <w:r>
              <w:t>Relationship context</w:t>
            </w:r>
          </w:p>
        </w:tc>
        <w:tc>
          <w:tcPr>
            <w:tcW w:type="dxa" w:w="4320"/>
          </w:tcPr>
          <w:p>
            <w:r>
              <w:t>Whether the activity is performed directly, for a customer, for a Covered Entity, for another Business Associate, or internally.</w:t>
            </w:r>
          </w:p>
        </w:tc>
      </w:tr>
      <w:tr>
        <w:tc>
          <w:tcPr>
            <w:tcW w:type="dxa" w:w="4320"/>
          </w:tcPr>
          <w:p>
            <w:r>
              <w:t>Proposed classification</w:t>
            </w:r>
          </w:p>
        </w:tc>
        <w:tc>
          <w:tcPr>
            <w:tcW w:type="dxa" w:w="4320"/>
          </w:tcPr>
          <w:p>
            <w:r>
              <w:t>Covered Entity, Business Associate, Hybrid Entity, non-regulated, or requires legal review.</w:t>
            </w:r>
          </w:p>
        </w:tc>
      </w:tr>
      <w:tr>
        <w:tc>
          <w:tcPr>
            <w:tcW w:type="dxa" w:w="4320"/>
          </w:tcPr>
          <w:p>
            <w:r>
              <w:t>Rationale</w:t>
            </w:r>
          </w:p>
        </w:tc>
        <w:tc>
          <w:tcPr>
            <w:tcW w:type="dxa" w:w="4320"/>
          </w:tcPr>
          <w:p>
            <w:r>
              <w:t>Facts supporting the classification decision.</w:t>
            </w:r>
          </w:p>
        </w:tc>
      </w:tr>
      <w:tr>
        <w:tc>
          <w:tcPr>
            <w:tcW w:type="dxa" w:w="4320"/>
          </w:tcPr>
          <w:p>
            <w:r>
              <w:t>Required agreements</w:t>
            </w:r>
          </w:p>
        </w:tc>
        <w:tc>
          <w:tcPr>
            <w:tcW w:type="dxa" w:w="4320"/>
          </w:tcPr>
          <w:p>
            <w:r>
              <w:t>Business Associate Agreement, subcontractor agreement, customer agreement, data sharing agreement, or none.</w:t>
            </w:r>
          </w:p>
        </w:tc>
      </w:tr>
      <w:tr>
        <w:tc>
          <w:tcPr>
            <w:tcW w:type="dxa" w:w="4320"/>
          </w:tcPr>
          <w:p>
            <w:r>
              <w:t>Required safeguards</w:t>
            </w:r>
          </w:p>
        </w:tc>
        <w:tc>
          <w:tcPr>
            <w:tcW w:type="dxa" w:w="4320"/>
          </w:tcPr>
          <w:p>
            <w:r>
              <w:t>Key privacy, security, access, training, and monitoring requirements.</w:t>
            </w:r>
          </w:p>
        </w:tc>
      </w:tr>
      <w:tr>
        <w:tc>
          <w:tcPr>
            <w:tcW w:type="dxa" w:w="4320"/>
          </w:tcPr>
          <w:p>
            <w:r>
              <w:t>Approvers</w:t>
            </w:r>
          </w:p>
        </w:tc>
        <w:tc>
          <w:tcPr>
            <w:tcW w:type="dxa" w:w="4320"/>
          </w:tcPr>
          <w:p>
            <w:r>
              <w:t>Privacy Officer, Security Officer, Legal Counsel, business owner, and any additional required approver.</w:t>
            </w:r>
          </w:p>
        </w:tc>
      </w:tr>
      <w:tr>
        <w:tc>
          <w:tcPr>
            <w:tcW w:type="dxa" w:w="4320"/>
          </w:tcPr>
          <w:p>
            <w:r>
              <w:t>Approval date</w:t>
            </w:r>
          </w:p>
        </w:tc>
        <w:tc>
          <w:tcPr>
            <w:tcW w:type="dxa" w:w="4320"/>
          </w:tcPr>
          <w:p>
            <w:r>
              <w:t>Date of final approval.</w:t>
            </w:r>
          </w:p>
        </w:tc>
      </w:tr>
      <w:tr>
        <w:tc>
          <w:tcPr>
            <w:tcW w:type="dxa" w:w="4320"/>
          </w:tcPr>
          <w:p>
            <w:r>
              <w:t>Review trigger</w:t>
            </w:r>
          </w:p>
        </w:tc>
        <w:tc>
          <w:tcPr>
            <w:tcW w:type="dxa" w:w="4320"/>
          </w:tcPr>
          <w:p>
            <w:r>
              <w:t>Scheduled review date and event-based review triggers.</w:t>
            </w:r>
          </w:p>
        </w:tc>
      </w:tr>
      <w:tr>
        <w:tc>
          <w:tcPr>
            <w:tcW w:type="dxa" w:w="4320"/>
          </w:tcPr>
          <w:p>
            <w:r>
              <w:t>Evidence location</w:t>
            </w:r>
          </w:p>
        </w:tc>
        <w:tc>
          <w:tcPr>
            <w:tcW w:type="dxa" w:w="4320"/>
          </w:tcPr>
          <w:p>
            <w:r>
              <w:t>Link or reference to supporting records in [approved repository].</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or Governing Body</w:t>
            </w:r>
          </w:p>
        </w:tc>
        <w:tc>
          <w:tcPr>
            <w:tcW w:type="dxa" w:w="4320"/>
          </w:tcPr>
          <w:p>
            <w:r>
              <w:t>Provide oversight of HIPAA governance and receive escalation of material compliance risks related to entity type determination.</w:t>
            </w:r>
          </w:p>
        </w:tc>
      </w:tr>
      <w:tr>
        <w:tc>
          <w:tcPr>
            <w:tcW w:type="dxa" w:w="4320"/>
          </w:tcPr>
          <w:p>
            <w:r>
              <w:t>Executive Leadership</w:t>
            </w:r>
          </w:p>
        </w:tc>
        <w:tc>
          <w:tcPr>
            <w:tcW w:type="dxa" w:w="4320"/>
          </w:tcPr>
          <w:p>
            <w:r>
              <w:t>Ensure sufficient authority, resources, and accountability for accurate HIPAA applicability determinations across the organisation.</w:t>
            </w:r>
          </w:p>
        </w:tc>
      </w:tr>
      <w:tr>
        <w:tc>
          <w:tcPr>
            <w:tcW w:type="dxa" w:w="4320"/>
          </w:tcPr>
          <w:p>
            <w:r>
              <w:t>Privacy Officer</w:t>
            </w:r>
          </w:p>
        </w:tc>
        <w:tc>
          <w:tcPr>
            <w:tcW w:type="dxa" w:w="4320"/>
          </w:tcPr>
          <w:p>
            <w:r>
              <w:t>Own this Policy; lead HIPAA applicability assessments; approve entity type determinations; maintain the entity type register; oversee privacy obligations arising from each classification.</w:t>
            </w:r>
          </w:p>
        </w:tc>
      </w:tr>
      <w:tr>
        <w:tc>
          <w:tcPr>
            <w:tcW w:type="dxa" w:w="4320"/>
          </w:tcPr>
          <w:p>
            <w:r>
              <w:t>Security Officer</w:t>
            </w:r>
          </w:p>
        </w:tc>
        <w:tc>
          <w:tcPr>
            <w:tcW w:type="dxa" w:w="4320"/>
          </w:tcPr>
          <w:p>
            <w:r>
              <w:t>Identify security obligations associated with regulated functions; ensure systems and data flows involving protected health information are included in security risk management, access controls, monitoring, and incident response.</w:t>
            </w:r>
          </w:p>
        </w:tc>
      </w:tr>
      <w:tr>
        <w:tc>
          <w:tcPr>
            <w:tcW w:type="dxa" w:w="4320"/>
          </w:tcPr>
          <w:p>
            <w:r>
              <w:t>Legal Counsel</w:t>
            </w:r>
          </w:p>
        </w:tc>
        <w:tc>
          <w:tcPr>
            <w:tcW w:type="dxa" w:w="4320"/>
          </w:tcPr>
          <w:p>
            <w:r>
              <w:t>Provide legal interpretation; review ambiguous classifications; approve contractual language; determine when agreements are required; advise on regulatory risk.</w:t>
            </w:r>
          </w:p>
        </w:tc>
      </w:tr>
      <w:tr>
        <w:tc>
          <w:tcPr>
            <w:tcW w:type="dxa" w:w="4320"/>
          </w:tcPr>
          <w:p>
            <w:r>
              <w:t>Compliance Officer</w:t>
            </w:r>
          </w:p>
        </w:tc>
        <w:tc>
          <w:tcPr>
            <w:tcW w:type="dxa" w:w="4320"/>
          </w:tcPr>
          <w:p>
            <w:r>
              <w:t>Monitor compliance with this Policy; coordinate audits or reviews; track remediation actions; report unresolved issues to leadership.</w:t>
            </w:r>
          </w:p>
        </w:tc>
      </w:tr>
      <w:tr>
        <w:tc>
          <w:tcPr>
            <w:tcW w:type="dxa" w:w="4320"/>
          </w:tcPr>
          <w:p>
            <w:r>
              <w:t>Business Owners</w:t>
            </w:r>
          </w:p>
        </w:tc>
        <w:tc>
          <w:tcPr>
            <w:tcW w:type="dxa" w:w="4320"/>
          </w:tcPr>
          <w:p>
            <w:r>
              <w:t>Identify activities that may involve health information; initiate applicability assessments; maintain accurate service descriptions and data flow information; ensure operations align with approved classifications.</w:t>
            </w:r>
          </w:p>
        </w:tc>
      </w:tr>
      <w:tr>
        <w:tc>
          <w:tcPr>
            <w:tcW w:type="dxa" w:w="4320"/>
          </w:tcPr>
          <w:p>
            <w:r>
              <w:t>Product and Service Owners</w:t>
            </w:r>
          </w:p>
        </w:tc>
        <w:tc>
          <w:tcPr>
            <w:tcW w:type="dxa" w:w="4320"/>
          </w:tcPr>
          <w:p>
            <w:r>
              <w:t>Build entity type review into product design, service launch, configuration, implementation, and change management processes.</w:t>
            </w:r>
          </w:p>
        </w:tc>
      </w:tr>
      <w:tr>
        <w:tc>
          <w:tcPr>
            <w:tcW w:type="dxa" w:w="4320"/>
          </w:tcPr>
          <w:p>
            <w:r>
              <w:t>Sales, Marketing, and Customer-Facing Teams</w:t>
            </w:r>
          </w:p>
        </w:tc>
        <w:tc>
          <w:tcPr>
            <w:tcW w:type="dxa" w:w="4320"/>
          </w:tcPr>
          <w:p>
            <w:r>
              <w:t>Obtain approval before making statements about HIPAA applicability, compliance status, Business Associate responsibilities, or permitted uses of health information.</w:t>
            </w:r>
          </w:p>
        </w:tc>
      </w:tr>
      <w:tr>
        <w:tc>
          <w:tcPr>
            <w:tcW w:type="dxa" w:w="4320"/>
          </w:tcPr>
          <w:p>
            <w:r>
              <w:t>Procurement and Vendor Management</w:t>
            </w:r>
          </w:p>
        </w:tc>
        <w:tc>
          <w:tcPr>
            <w:tcW w:type="dxa" w:w="4320"/>
          </w:tcPr>
          <w:p>
            <w:r>
              <w:t>Ensure third-party arrangements involving protected health information are reviewed, approved, and supported by required agreements before work begins.</w:t>
            </w:r>
          </w:p>
        </w:tc>
      </w:tr>
      <w:tr>
        <w:tc>
          <w:tcPr>
            <w:tcW w:type="dxa" w:w="4320"/>
          </w:tcPr>
          <w:p>
            <w:r>
              <w:t>Information Technology</w:t>
            </w:r>
          </w:p>
        </w:tc>
        <w:tc>
          <w:tcPr>
            <w:tcW w:type="dxa" w:w="4320"/>
          </w:tcPr>
          <w:p>
            <w:r>
              <w:t>Maintain inventories of systems that create, receive, maintain, or transmit protected health information; implement technical safeguards according to approved classification.</w:t>
            </w:r>
          </w:p>
        </w:tc>
      </w:tr>
      <w:tr>
        <w:tc>
          <w:tcPr>
            <w:tcW w:type="dxa" w:w="4320"/>
          </w:tcPr>
          <w:p>
            <w:r>
              <w:t>Human Resources</w:t>
            </w:r>
          </w:p>
        </w:tc>
        <w:tc>
          <w:tcPr>
            <w:tcW w:type="dxa" w:w="4320"/>
          </w:tcPr>
          <w:p>
            <w:r>
              <w:t>Coordinate workforce training, sanctions, role changes, and onboarding or offboarding activities for personnel supporting regulated functions.</w:t>
            </w:r>
          </w:p>
        </w:tc>
      </w:tr>
      <w:tr>
        <w:tc>
          <w:tcPr>
            <w:tcW w:type="dxa" w:w="4320"/>
          </w:tcPr>
          <w:p>
            <w:r>
              <w:t>Workforce Members</w:t>
            </w:r>
          </w:p>
        </w:tc>
        <w:tc>
          <w:tcPr>
            <w:tcW w:type="dxa" w:w="4320"/>
          </w:tcPr>
          <w:p>
            <w:r>
              <w:t>Follow approved classifications, use protected health information only as authorised, report suspected misclassification or improper handling, and complete required training.</w:t>
            </w:r>
          </w:p>
        </w:tc>
      </w:tr>
      <w:tr>
        <w:tc>
          <w:tcPr>
            <w:tcW w:type="dxa" w:w="4320"/>
          </w:tcPr>
          <w:p>
            <w:r>
              <w:t>Internal Audit or Independent Assurance Function</w:t>
            </w:r>
          </w:p>
        </w:tc>
        <w:tc>
          <w:tcPr>
            <w:tcW w:type="dxa" w:w="4320"/>
          </w:tcPr>
          <w:p>
            <w:r>
              <w:t>Periodically assess whether entity type determinations are complete, accurate, approved, and operationally implemented.</w:t>
            </w:r>
          </w:p>
        </w:tc>
      </w:tr>
    </w:tbl>
    <w:p>
      <w:pPr>
        <w:pStyle w:val="Heading2"/>
      </w:pPr>
      <w:r>
        <w:t>Compliance, Monitoring &amp; Enforcement</w:t>
      </w:r>
    </w:p>
    <w:p>
      <w:r>
        <w:t>The organisation shall monitor compliance with this Policy through governance reviews, compliance testing, internal audits, contract reviews, system inventories, data flow assessments, access reviews, and change management oversight.</w:t>
      </w:r>
    </w:p>
    <w:p>
      <w:r>
        <w:t>At a minimum, 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Review of HIPAA Applicability and Entity Type Register for completeness and currency</w:t>
            </w:r>
          </w:p>
        </w:tc>
        <w:tc>
          <w:tcPr>
            <w:tcW w:type="dxa" w:w="2160"/>
          </w:tcPr>
          <w:p>
            <w:r>
              <w:t>Quarterly</w:t>
            </w:r>
          </w:p>
        </w:tc>
        <w:tc>
          <w:tcPr>
            <w:tcW w:type="dxa" w:w="2160"/>
          </w:tcPr>
          <w:p>
            <w:r>
              <w:t>Privacy Officer</w:t>
            </w:r>
          </w:p>
        </w:tc>
        <w:tc>
          <w:tcPr>
            <w:tcW w:type="dxa" w:w="2160"/>
          </w:tcPr>
          <w:p>
            <w:r>
              <w:t>Updated register and review notes</w:t>
            </w:r>
          </w:p>
        </w:tc>
      </w:tr>
      <w:tr>
        <w:tc>
          <w:tcPr>
            <w:tcW w:type="dxa" w:w="2160"/>
          </w:tcPr>
          <w:p>
            <w:r>
              <w:t>Review of new products, services, contracts, and customer implementations for HIPAA applicability</w:t>
            </w:r>
          </w:p>
        </w:tc>
        <w:tc>
          <w:tcPr>
            <w:tcW w:type="dxa" w:w="2160"/>
          </w:tcPr>
          <w:p>
            <w:r>
              <w:t>Before approval or launch</w:t>
            </w:r>
          </w:p>
        </w:tc>
        <w:tc>
          <w:tcPr>
            <w:tcW w:type="dxa" w:w="2160"/>
          </w:tcPr>
          <w:p>
            <w:r>
              <w:t>Business Owner, Privacy Officer, Legal Counsel</w:t>
            </w:r>
          </w:p>
        </w:tc>
        <w:tc>
          <w:tcPr>
            <w:tcW w:type="dxa" w:w="2160"/>
          </w:tcPr>
          <w:p>
            <w:r>
              <w:t>Completed assessment and approvals</w:t>
            </w:r>
          </w:p>
        </w:tc>
      </w:tr>
      <w:tr>
        <w:tc>
          <w:tcPr>
            <w:tcW w:type="dxa" w:w="2160"/>
          </w:tcPr>
          <w:p>
            <w:r>
              <w:t>Review of Business Associate Agreements and subcontractor agreements</w:t>
            </w:r>
          </w:p>
        </w:tc>
        <w:tc>
          <w:tcPr>
            <w:tcW w:type="dxa" w:w="2160"/>
          </w:tcPr>
          <w:p>
            <w:r>
              <w:t>At contract initiation and upon material change</w:t>
            </w:r>
          </w:p>
        </w:tc>
        <w:tc>
          <w:tcPr>
            <w:tcW w:type="dxa" w:w="2160"/>
          </w:tcPr>
          <w:p>
            <w:r>
              <w:t>Legal Counsel, Vendor Management</w:t>
            </w:r>
          </w:p>
        </w:tc>
        <w:tc>
          <w:tcPr>
            <w:tcW w:type="dxa" w:w="2160"/>
          </w:tcPr>
          <w:p>
            <w:r>
              <w:t>Executed agreements and contract checklist</w:t>
            </w:r>
          </w:p>
        </w:tc>
      </w:tr>
      <w:tr>
        <w:tc>
          <w:tcPr>
            <w:tcW w:type="dxa" w:w="2160"/>
          </w:tcPr>
          <w:p>
            <w:r>
              <w:t>Review of Hybrid Entity health care component designation, if applicable</w:t>
            </w:r>
          </w:p>
        </w:tc>
        <w:tc>
          <w:tcPr>
            <w:tcW w:type="dxa" w:w="2160"/>
          </w:tcPr>
          <w:p>
            <w:r>
              <w:t>Annually and upon organisational change</w:t>
            </w:r>
          </w:p>
        </w:tc>
        <w:tc>
          <w:tcPr>
            <w:tcW w:type="dxa" w:w="2160"/>
          </w:tcPr>
          <w:p>
            <w:r>
              <w:t>Privacy Officer, Legal Counsel, Executive Leadership</w:t>
            </w:r>
          </w:p>
        </w:tc>
        <w:tc>
          <w:tcPr>
            <w:tcW w:type="dxa" w:w="2160"/>
          </w:tcPr>
          <w:p>
            <w:r>
              <w:t>Approved designation record</w:t>
            </w:r>
          </w:p>
        </w:tc>
      </w:tr>
      <w:tr>
        <w:tc>
          <w:tcPr>
            <w:tcW w:type="dxa" w:w="2160"/>
          </w:tcPr>
          <w:p>
            <w:r>
              <w:t>Review of systems containing protected health information against asset inventory and risk assessment records</w:t>
            </w:r>
          </w:p>
        </w:tc>
        <w:tc>
          <w:tcPr>
            <w:tcW w:type="dxa" w:w="2160"/>
          </w:tcPr>
          <w:p>
            <w:r>
              <w:t>Semi-annually</w:t>
            </w:r>
          </w:p>
        </w:tc>
        <w:tc>
          <w:tcPr>
            <w:tcW w:type="dxa" w:w="2160"/>
          </w:tcPr>
          <w:p>
            <w:r>
              <w:t>Security Officer, IT Asset Owner</w:t>
            </w:r>
          </w:p>
        </w:tc>
        <w:tc>
          <w:tcPr>
            <w:tcW w:type="dxa" w:w="2160"/>
          </w:tcPr>
          <w:p>
            <w:r>
              <w:t>System inventory, risk records, remediation actions</w:t>
            </w:r>
          </w:p>
        </w:tc>
      </w:tr>
      <w:tr>
        <w:tc>
          <w:tcPr>
            <w:tcW w:type="dxa" w:w="2160"/>
          </w:tcPr>
          <w:p>
            <w:r>
              <w:t>Review of workforce access to protected health information</w:t>
            </w:r>
          </w:p>
        </w:tc>
        <w:tc>
          <w:tcPr>
            <w:tcW w:type="dxa" w:w="2160"/>
          </w:tcPr>
          <w:p>
            <w:r>
              <w:t>Quarterly or risk-based</w:t>
            </w:r>
          </w:p>
        </w:tc>
        <w:tc>
          <w:tcPr>
            <w:tcW w:type="dxa" w:w="2160"/>
          </w:tcPr>
          <w:p>
            <w:r>
              <w:t>Security Officer, Business Owner</w:t>
            </w:r>
          </w:p>
        </w:tc>
        <w:tc>
          <w:tcPr>
            <w:tcW w:type="dxa" w:w="2160"/>
          </w:tcPr>
          <w:p>
            <w:r>
              <w:t>Access review attestations</w:t>
            </w:r>
          </w:p>
        </w:tc>
      </w:tr>
      <w:tr>
        <w:tc>
          <w:tcPr>
            <w:tcW w:type="dxa" w:w="2160"/>
          </w:tcPr>
          <w:p>
            <w:r>
              <w:t>Review of sales, marketing, and customer commitments referencing HIPAA</w:t>
            </w:r>
          </w:p>
        </w:tc>
        <w:tc>
          <w:tcPr>
            <w:tcW w:type="dxa" w:w="2160"/>
          </w:tcPr>
          <w:p>
            <w:r>
              <w:t>Risk-based and prior to publication where applicable</w:t>
            </w:r>
          </w:p>
        </w:tc>
        <w:tc>
          <w:tcPr>
            <w:tcW w:type="dxa" w:w="2160"/>
          </w:tcPr>
          <w:p>
            <w:r>
              <w:t>Legal Counsel, Privacy Officer</w:t>
            </w:r>
          </w:p>
        </w:tc>
        <w:tc>
          <w:tcPr>
            <w:tcW w:type="dxa" w:w="2160"/>
          </w:tcPr>
          <w:p>
            <w:r>
              <w:t>Approved materials</w:t>
            </w:r>
          </w:p>
        </w:tc>
      </w:tr>
      <w:tr>
        <w:tc>
          <w:tcPr>
            <w:tcW w:type="dxa" w:w="2160"/>
          </w:tcPr>
          <w:p>
            <w:r>
              <w:t>Internal audit of entity type determination process</w:t>
            </w:r>
          </w:p>
        </w:tc>
        <w:tc>
          <w:tcPr>
            <w:tcW w:type="dxa" w:w="2160"/>
          </w:tcPr>
          <w:p>
            <w:r>
              <w:t>At least annually or as scheduled in the audit plan</w:t>
            </w:r>
          </w:p>
        </w:tc>
        <w:tc>
          <w:tcPr>
            <w:tcW w:type="dxa" w:w="2160"/>
          </w:tcPr>
          <w:p>
            <w:r>
              <w:t>Internal Audit or Compliance</w:t>
            </w:r>
          </w:p>
        </w:tc>
        <w:tc>
          <w:tcPr>
            <w:tcW w:type="dxa" w:w="2160"/>
          </w:tcPr>
          <w:p>
            <w:r>
              <w:t>Audit report and corrective action plan</w:t>
            </w:r>
          </w:p>
        </w:tc>
      </w:tr>
    </w:tbl>
    <w:p>
      <w:r>
        <w:t>Non-compliance with this Policy may result in corrective action, contract suspension, disciplinary action, removal of access, termination of vendor relationships, customer notification where required, or other actions permitted by organisational policy and applicable law.</w:t>
      </w:r>
    </w:p>
    <w:p>
      <w:r>
        <w:t>Examples of non-compliance include, but are not limited to:</w:t>
      </w:r>
    </w:p>
    <w:p>
      <w:pPr>
        <w:pStyle w:val="ListBullet"/>
      </w:pPr>
      <w:r>
        <w:t>Processing protected health information without an approved entity type determination.</w:t>
      </w:r>
    </w:p>
    <w:p>
      <w:pPr>
        <w:pStyle w:val="ListBullet"/>
      </w:pPr>
      <w:r>
        <w:t>Failing to execute required Business Associate or subcontractor agreements.</w:t>
      </w:r>
    </w:p>
    <w:p>
      <w:pPr>
        <w:pStyle w:val="ListBullet"/>
      </w:pPr>
      <w:r>
        <w:t>Misrepresenting the organisation’s HIPAA role to customers, vendors, or regulators.</w:t>
      </w:r>
    </w:p>
    <w:p>
      <w:pPr>
        <w:pStyle w:val="ListBullet"/>
      </w:pPr>
      <w:r>
        <w:t>Allowing non-regulated business units to access protected health information without approval.</w:t>
      </w:r>
    </w:p>
    <w:p>
      <w:pPr>
        <w:pStyle w:val="ListBullet"/>
      </w:pPr>
      <w:r>
        <w:t>Treating information as de-identified without proper review and approval.</w:t>
      </w:r>
    </w:p>
    <w:p>
      <w:pPr>
        <w:pStyle w:val="ListBullet"/>
      </w:pPr>
      <w:r>
        <w:t>Launching or materially changing services involving health information without privacy, security, and legal review.</w:t>
      </w:r>
    </w:p>
    <w:p>
      <w:pPr>
        <w:pStyle w:val="ListBullet"/>
      </w:pPr>
      <w:r>
        <w:t>Failing to update the entity type register after organisational, contractual, or technical changes.</w:t>
      </w:r>
    </w:p>
    <w:p>
      <w:pPr>
        <w:pStyle w:val="ListBullet"/>
      </w:pPr>
      <w:r>
        <w:t>Ignoring or concealing suspected misclassification or unauthorised data handling.</w:t>
      </w:r>
    </w:p>
    <w:p>
      <w:r>
        <w:t>Material misclassification, unmanaged protected health information processing, or repeated failure to follow this Policy shall be escalated to executive leadership and, where appropriate, the governing body.</w:t>
      </w:r>
    </w:p>
    <w:p>
      <w:pPr>
        <w:pStyle w:val="Heading2"/>
      </w:pPr>
      <w:r>
        <w:t>Exceptions</w:t>
      </w:r>
    </w:p>
    <w:p>
      <w:r>
        <w:t>Exceptions to this Policy shall be limited, documented, risk-assessed, time-bound, and approved before the exception is implemented.</w:t>
      </w:r>
    </w:p>
    <w:p>
      <w:r>
        <w:t>An exception shall not be used to:</w:t>
      </w:r>
    </w:p>
    <w:p>
      <w:pPr>
        <w:pStyle w:val="ListBullet"/>
      </w:pPr>
      <w:r>
        <w:t>Avoid determining whether HIPAA applies.</w:t>
      </w:r>
    </w:p>
    <w:p>
      <w:pPr>
        <w:pStyle w:val="ListBullet"/>
      </w:pPr>
      <w:r>
        <w:t>Bypass required legal review.</w:t>
      </w:r>
    </w:p>
    <w:p>
      <w:pPr>
        <w:pStyle w:val="ListBullet"/>
      </w:pPr>
      <w:r>
        <w:t>Process protected health information without appropriate contractual safeguards.</w:t>
      </w:r>
    </w:p>
    <w:p>
      <w:pPr>
        <w:pStyle w:val="ListBullet"/>
      </w:pPr>
      <w:r>
        <w:t>Remove required privacy or security protections for protected health information.</w:t>
      </w:r>
    </w:p>
    <w:p>
      <w:pPr>
        <w:pStyle w:val="ListBullet"/>
      </w:pPr>
      <w:r>
        <w:t>Permit unapproved access between regulated and non-regulated functions.</w:t>
      </w:r>
    </w:p>
    <w:p>
      <w:pPr>
        <w:pStyle w:val="ListBullet"/>
      </w:pPr>
      <w:r>
        <w:t>Make unapproved representations about HIPAA compliance or entity status.</w:t>
      </w:r>
    </w:p>
    <w:p>
      <w:r>
        <w:t>Exception requests shall include, at a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business unit, and contact information.</w:t>
            </w:r>
          </w:p>
        </w:tc>
      </w:tr>
      <w:tr>
        <w:tc>
          <w:tcPr>
            <w:tcW w:type="dxa" w:w="4320"/>
          </w:tcPr>
          <w:p>
            <w:r>
              <w:t>Affected activity</w:t>
            </w:r>
          </w:p>
        </w:tc>
        <w:tc>
          <w:tcPr>
            <w:tcW w:type="dxa" w:w="4320"/>
          </w:tcPr>
          <w:p>
            <w:r>
              <w:t>Product, service, system, contract, customer, vendor, or business function.</w:t>
            </w:r>
          </w:p>
        </w:tc>
      </w:tr>
      <w:tr>
        <w:tc>
          <w:tcPr>
            <w:tcW w:type="dxa" w:w="4320"/>
          </w:tcPr>
          <w:p>
            <w:r>
              <w:t>Requested exception</w:t>
            </w:r>
          </w:p>
        </w:tc>
        <w:tc>
          <w:tcPr>
            <w:tcW w:type="dxa" w:w="4320"/>
          </w:tcPr>
          <w:p>
            <w:r>
              <w:t>Specific requirement from this Policy for which exception is requested.</w:t>
            </w:r>
          </w:p>
        </w:tc>
      </w:tr>
      <w:tr>
        <w:tc>
          <w:tcPr>
            <w:tcW w:type="dxa" w:w="4320"/>
          </w:tcPr>
          <w:p>
            <w:r>
              <w:t>Business justification</w:t>
            </w:r>
          </w:p>
        </w:tc>
        <w:tc>
          <w:tcPr>
            <w:tcW w:type="dxa" w:w="4320"/>
          </w:tcPr>
          <w:p>
            <w:r>
              <w:t>Reason the requirement cannot be met as written.</w:t>
            </w:r>
          </w:p>
        </w:tc>
      </w:tr>
      <w:tr>
        <w:tc>
          <w:tcPr>
            <w:tcW w:type="dxa" w:w="4320"/>
          </w:tcPr>
          <w:p>
            <w:r>
              <w:t>Data involved</w:t>
            </w:r>
          </w:p>
        </w:tc>
        <w:tc>
          <w:tcPr>
            <w:tcW w:type="dxa" w:w="4320"/>
          </w:tcPr>
          <w:p>
            <w:r>
              <w:t>Types and volume of health information, including whether protected health information is involved.</w:t>
            </w:r>
          </w:p>
        </w:tc>
      </w:tr>
      <w:tr>
        <w:tc>
          <w:tcPr>
            <w:tcW w:type="dxa" w:w="4320"/>
          </w:tcPr>
          <w:p>
            <w:r>
              <w:t>Risk assessment</w:t>
            </w:r>
          </w:p>
        </w:tc>
        <w:tc>
          <w:tcPr>
            <w:tcW w:type="dxa" w:w="4320"/>
          </w:tcPr>
          <w:p>
            <w:r>
              <w:t>Privacy, security, legal, contractual, operational, and reputational risks.</w:t>
            </w:r>
          </w:p>
        </w:tc>
      </w:tr>
      <w:tr>
        <w:tc>
          <w:tcPr>
            <w:tcW w:type="dxa" w:w="4320"/>
          </w:tcPr>
          <w:p>
            <w:r>
              <w:t>Compensating controls</w:t>
            </w:r>
          </w:p>
        </w:tc>
        <w:tc>
          <w:tcPr>
            <w:tcW w:type="dxa" w:w="4320"/>
          </w:tcPr>
          <w:p>
            <w:r>
              <w:t>Safeguards that will reduce risk during the exception period.</w:t>
            </w:r>
          </w:p>
        </w:tc>
      </w:tr>
      <w:tr>
        <w:tc>
          <w:tcPr>
            <w:tcW w:type="dxa" w:w="4320"/>
          </w:tcPr>
          <w:p>
            <w:r>
              <w:t>Duration</w:t>
            </w:r>
          </w:p>
        </w:tc>
        <w:tc>
          <w:tcPr>
            <w:tcW w:type="dxa" w:w="4320"/>
          </w:tcPr>
          <w:p>
            <w:r>
              <w:t>Start date, end date, and milestones for returning to compliance.</w:t>
            </w:r>
          </w:p>
        </w:tc>
      </w:tr>
      <w:tr>
        <w:tc>
          <w:tcPr>
            <w:tcW w:type="dxa" w:w="4320"/>
          </w:tcPr>
          <w:p>
            <w:r>
              <w:t>Required approvals</w:t>
            </w:r>
          </w:p>
        </w:tc>
        <w:tc>
          <w:tcPr>
            <w:tcW w:type="dxa" w:w="4320"/>
          </w:tcPr>
          <w:p>
            <w:r>
              <w:t>Business owner, Privacy Officer, Security Officer, Legal Counsel, and executive approver where required.</w:t>
            </w:r>
          </w:p>
        </w:tc>
      </w:tr>
      <w:tr>
        <w:tc>
          <w:tcPr>
            <w:tcW w:type="dxa" w:w="4320"/>
          </w:tcPr>
          <w:p>
            <w:r>
              <w:t>Review plan</w:t>
            </w:r>
          </w:p>
        </w:tc>
        <w:tc>
          <w:tcPr>
            <w:tcW w:type="dxa" w:w="4320"/>
          </w:tcPr>
          <w:p>
            <w:r>
              <w:t>Monitoring activities and reassessment date.</w:t>
            </w:r>
          </w:p>
        </w:tc>
      </w:tr>
    </w:tbl>
    <w:p>
      <w:r>
        <w:t>All approved exceptions shall be recorded in the exception register maintained by [Compliance Function or Privacy Office]. Exceptions shall be reviewed at least monthly until closed, unless a more frequent review is required by the approvers.</w:t>
      </w:r>
    </w:p>
    <w:p>
      <w:r>
        <w:t>Any exception that increases the risk of unauthorised use, disclosure, access, or transmission of protected health information shall require approval by the Privacy Officer, Security Officer, Legal Counsel, and [Executive Approver].</w:t>
      </w:r>
    </w:p>
    <w:p>
      <w:pPr>
        <w:pStyle w:val="Heading2"/>
      </w:pPr>
      <w:r>
        <w:t>Review &amp; Maintenance</w:t>
      </w:r>
    </w:p>
    <w:p>
      <w:r>
        <w:t>This Policy shall be reviewed at least annually and whenever there is a material change affecting HIPAA applicability, including changes to:</w:t>
      </w:r>
    </w:p>
    <w:p>
      <w:pPr>
        <w:pStyle w:val="ListBullet"/>
      </w:pPr>
      <w:r>
        <w:t>Organisational structure, ownership, acquisitions, divestitures, or legal entities.</w:t>
      </w:r>
    </w:p>
    <w:p>
      <w:pPr>
        <w:pStyle w:val="ListBullet"/>
      </w:pPr>
      <w:r>
        <w:t>Business models, products, services, or customer relationships.</w:t>
      </w:r>
    </w:p>
    <w:p>
      <w:pPr>
        <w:pStyle w:val="ListBullet"/>
      </w:pPr>
      <w:r>
        <w:t>Health information data flows, systems, applications, or infrastructure.</w:t>
      </w:r>
    </w:p>
    <w:p>
      <w:pPr>
        <w:pStyle w:val="ListBullet"/>
      </w:pPr>
      <w:r>
        <w:t>Contracts, subcontractors, vendors, or outsourced services.</w:t>
      </w:r>
    </w:p>
    <w:p>
      <w:pPr>
        <w:pStyle w:val="ListBullet"/>
      </w:pPr>
      <w:r>
        <w:t>Regulated functions, health care components, or Hybrid Entity designation.</w:t>
      </w:r>
    </w:p>
    <w:p>
      <w:pPr>
        <w:pStyle w:val="ListBullet"/>
      </w:pPr>
      <w:r>
        <w:t>Applicable law, regulatory expectations, enforcement trends, or legal interpretations.</w:t>
      </w:r>
    </w:p>
    <w:p>
      <w:pPr>
        <w:pStyle w:val="ListBullet"/>
      </w:pPr>
      <w:r>
        <w:t>Internal audit findings, incidents, breaches, complaints, or risk assessments.</w:t>
      </w:r>
    </w:p>
    <w:p>
      <w:r>
        <w:t>The Privacy Officer shall coordinate review and maintenance of this Policy with the Security Officer, Legal Counsel, Compliance Officer, business owners, and other stakeholders as appropriate.</w:t>
      </w:r>
    </w:p>
    <w:p>
      <w:r>
        <w:t>Policy updates shall be approved by [Approving Authority] before publication. Superseded versions shall be retained in accordance with the organisation’s records retention requirements.</w:t>
      </w:r>
    </w:p>
    <w:p>
      <w:r>
        <w:t>The current approved version of this Policy shall be published in [policy repository] and made available to all workforce members who perform, support, sell, contract for, manage, or oversee activities involving health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