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Service Provider Management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[POL-PCI-TPSP-001]</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PCI DSS v4.0.1</w:t>
            </w:r>
          </w:p>
        </w:tc>
        <w:tc>
          <w:tcPr>
            <w:tcW w:type="dxa" w:w="1440"/>
          </w:tcPr>
          <w:p>
            <w:r>
              <w:t>Internal</w:t>
            </w:r>
          </w:p>
        </w:tc>
      </w:tr>
    </w:tbl>
    <w:p>
      <w:pPr>
        <w:pStyle w:val="Heading2"/>
      </w:pPr>
      <w:r>
        <w:t>Purpose</w:t>
      </w:r>
    </w:p>
    <w:p>
      <w:r>
        <w:t>This policy establishes mandatory requirements for identifying, assessing, approving, contracting with, monitoring, and managing third-party service providers that may affect the security of the cardholder data environment or the protection of payment account data.</w:t>
      </w:r>
    </w:p>
    <w:p>
      <w:r>
        <w:t>The purpose of this policy is to ensure that:</w:t>
      </w:r>
    </w:p>
    <w:p>
      <w:pPr>
        <w:pStyle w:val="ListBullet"/>
      </w:pPr>
      <w:r>
        <w:t>all third-party service providers with access to cardholder data, sensitive authentication data, payment systems, security systems, network connectivity, or related services are known and governed;</w:t>
      </w:r>
    </w:p>
    <w:p>
      <w:pPr>
        <w:pStyle w:val="ListBullet"/>
      </w:pPr>
      <w:r>
        <w:t>security and compliance responsibilities between the organisation and each service provider are clearly documented and maintained;</w:t>
      </w:r>
    </w:p>
    <w:p>
      <w:pPr>
        <w:pStyle w:val="ListBullet"/>
      </w:pPr>
      <w:r>
        <w:t>due diligence is performed before engagement and throughout the relationship;</w:t>
      </w:r>
    </w:p>
    <w:p>
      <w:pPr>
        <w:pStyle w:val="ListBullet"/>
      </w:pPr>
      <w:r>
        <w:t>written agreements include appropriate information security, PCI DSS, breach notification, audit, and termination obligations;</w:t>
      </w:r>
    </w:p>
    <w:p>
      <w:pPr>
        <w:pStyle w:val="ListBullet"/>
      </w:pPr>
      <w:r>
        <w:t>service provider compliance status is monitored at a frequency appropriate to risk; and</w:t>
      </w:r>
    </w:p>
    <w:p>
      <w:pPr>
        <w:pStyle w:val="ListBullet"/>
      </w:pPr>
      <w:r>
        <w:t>risks arising from third-party service providers are identified, tracked, escalated, and remediated.</w:t>
      </w:r>
    </w:p>
    <w:p>
      <w:pPr>
        <w:pStyle w:val="Heading2"/>
      </w:pPr>
      <w:r>
        <w:t>Scope</w:t>
      </w:r>
    </w:p>
    <w:p>
      <w:r>
        <w:t>This policy applies to all business units, employees, contractors, systems, processes, and third-party relationships that involve or may affect the organisation’s payment card processing activities, cardholder data environment, or PCI DSS compliance responsibilities.</w:t>
      </w:r>
    </w:p>
    <w:p>
      <w:r>
        <w:t>This policy applies to all third-party service providers that store, process, transmit, can impact the security of, or have administrative, support, network, physical, or logical access to any of the following:</w:t>
      </w:r>
    </w:p>
    <w:p>
      <w:pPr>
        <w:pStyle w:val="ListBullet"/>
      </w:pPr>
      <w:r>
        <w:t>cardholder data;</w:t>
      </w:r>
    </w:p>
    <w:p>
      <w:pPr>
        <w:pStyle w:val="ListBullet"/>
      </w:pPr>
      <w:r>
        <w:t>sensitive authentication data;</w:t>
      </w:r>
    </w:p>
    <w:p>
      <w:pPr>
        <w:pStyle w:val="ListBullet"/>
      </w:pPr>
      <w:r>
        <w:t>payment applications, payment terminals, payment gateways, or e-commerce payment pages;</w:t>
      </w:r>
    </w:p>
    <w:p>
      <w:pPr>
        <w:pStyle w:val="ListBullet"/>
      </w:pPr>
      <w:r>
        <w:t>systems, networks, cloud services, or managed infrastructure within or connected to the cardholder data environment;</w:t>
      </w:r>
    </w:p>
    <w:p>
      <w:pPr>
        <w:pStyle w:val="ListBullet"/>
      </w:pPr>
      <w:r>
        <w:t>security controls that protect the cardholder data environment, including identity and access management, logging, monitoring, vulnerability management, endpoint protection, encryption, firewall management, intrusion detection, and incident response services;</w:t>
      </w:r>
    </w:p>
    <w:p>
      <w:pPr>
        <w:pStyle w:val="ListBullet"/>
      </w:pPr>
      <w:r>
        <w:t>facilities, hosting locations, data centres, or managed office environments where payment systems or cardholder data are located;</w:t>
      </w:r>
    </w:p>
    <w:p>
      <w:pPr>
        <w:pStyle w:val="ListBullet"/>
      </w:pPr>
      <w:r>
        <w:t>backup, storage, archival, disposal, or media handling services involving payment data;</w:t>
      </w:r>
    </w:p>
    <w:p>
      <w:pPr>
        <w:pStyle w:val="ListBullet"/>
      </w:pPr>
      <w:r>
        <w:t>call centre, fulfilment, customer service, development, support, or operational services that may interact with payment data or payment systems; and</w:t>
      </w:r>
    </w:p>
    <w:p>
      <w:pPr>
        <w:pStyle w:val="ListBullet"/>
      </w:pPr>
      <w:r>
        <w:t>subcontracted services used by an approved third-party service provider where those subcontractors could affect the organisation’s PCI DSS compliance posture.</w:t>
      </w:r>
    </w:p>
    <w:p>
      <w:r>
        <w:t>Examples of third-party service providers in scope include, but are not limited to:</w:t>
      </w:r>
    </w:p>
    <w:tbl>
      <w:tblPr>
        <w:tblStyle w:val="TableGrid"/>
        <w:tblW w:type="auto" w:w="0"/>
        <w:tblLook w:firstColumn="1" w:firstRow="1" w:lastColumn="0" w:lastRow="0" w:noHBand="0" w:noVBand="1" w:val="04A0"/>
      </w:tblPr>
      <w:tblGrid>
        <w:gridCol w:w="4320"/>
        <w:gridCol w:w="4320"/>
      </w:tblGrid>
      <w:tr>
        <w:tc>
          <w:tcPr>
            <w:tcW w:type="dxa" w:w="4320"/>
          </w:tcPr>
          <w:p>
            <w:r>
              <w:t>Service Provider Type</w:t>
            </w:r>
          </w:p>
        </w:tc>
        <w:tc>
          <w:tcPr>
            <w:tcW w:type="dxa" w:w="4320"/>
          </w:tcPr>
          <w:p>
            <w:r>
              <w:t>Example Services</w:t>
            </w:r>
          </w:p>
        </w:tc>
      </w:tr>
      <w:tr>
        <w:tc>
          <w:tcPr>
            <w:tcW w:type="dxa" w:w="4320"/>
          </w:tcPr>
          <w:p>
            <w:r>
              <w:t>Payment service providers</w:t>
            </w:r>
          </w:p>
        </w:tc>
        <w:tc>
          <w:tcPr>
            <w:tcW w:type="dxa" w:w="4320"/>
          </w:tcPr>
          <w:p>
            <w:r>
              <w:t>Acquiring services, payment gateways, processors, tokenisation providers, fraud screening providers</w:t>
            </w:r>
          </w:p>
        </w:tc>
      </w:tr>
      <w:tr>
        <w:tc>
          <w:tcPr>
            <w:tcW w:type="dxa" w:w="4320"/>
          </w:tcPr>
          <w:p>
            <w:r>
              <w:t>Cloud and hosting providers</w:t>
            </w:r>
          </w:p>
        </w:tc>
        <w:tc>
          <w:tcPr>
            <w:tcW w:type="dxa" w:w="4320"/>
          </w:tcPr>
          <w:p>
            <w:r>
              <w:t>Infrastructure hosting, platform services, software-as-a-service platforms, storage, backup</w:t>
            </w:r>
          </w:p>
        </w:tc>
      </w:tr>
      <w:tr>
        <w:tc>
          <w:tcPr>
            <w:tcW w:type="dxa" w:w="4320"/>
          </w:tcPr>
          <w:p>
            <w:r>
              <w:t>Managed service providers</w:t>
            </w:r>
          </w:p>
        </w:tc>
        <w:tc>
          <w:tcPr>
            <w:tcW w:type="dxa" w:w="4320"/>
          </w:tcPr>
          <w:p>
            <w:r>
              <w:t>Network management, system administration, database administration, service desk, endpoint management</w:t>
            </w:r>
          </w:p>
        </w:tc>
      </w:tr>
      <w:tr>
        <w:tc>
          <w:tcPr>
            <w:tcW w:type="dxa" w:w="4320"/>
          </w:tcPr>
          <w:p>
            <w:r>
              <w:t>Security service providers</w:t>
            </w:r>
          </w:p>
        </w:tc>
        <w:tc>
          <w:tcPr>
            <w:tcW w:type="dxa" w:w="4320"/>
          </w:tcPr>
          <w:p>
            <w:r>
              <w:t>Security monitoring, penetration testing, vulnerability scanning, firewall management, incident response</w:t>
            </w:r>
          </w:p>
        </w:tc>
      </w:tr>
      <w:tr>
        <w:tc>
          <w:tcPr>
            <w:tcW w:type="dxa" w:w="4320"/>
          </w:tcPr>
          <w:p>
            <w:r>
              <w:t>Software and application providers</w:t>
            </w:r>
          </w:p>
        </w:tc>
        <w:tc>
          <w:tcPr>
            <w:tcW w:type="dxa" w:w="4320"/>
          </w:tcPr>
          <w:p>
            <w:r>
              <w:t>E-commerce platforms, payment applications, shopping cart software, customer portals</w:t>
            </w:r>
          </w:p>
        </w:tc>
      </w:tr>
      <w:tr>
        <w:tc>
          <w:tcPr>
            <w:tcW w:type="dxa" w:w="4320"/>
          </w:tcPr>
          <w:p>
            <w:r>
              <w:t>Physical service providers</w:t>
            </w:r>
          </w:p>
        </w:tc>
        <w:tc>
          <w:tcPr>
            <w:tcW w:type="dxa" w:w="4320"/>
          </w:tcPr>
          <w:p>
            <w:r>
              <w:t>Data centre operators, secure media destruction vendors, facilities management providers</w:t>
            </w:r>
          </w:p>
        </w:tc>
      </w:tr>
      <w:tr>
        <w:tc>
          <w:tcPr>
            <w:tcW w:type="dxa" w:w="4320"/>
          </w:tcPr>
          <w:p>
            <w:r>
              <w:t>Business process providers</w:t>
            </w:r>
          </w:p>
        </w:tc>
        <w:tc>
          <w:tcPr>
            <w:tcW w:type="dxa" w:w="4320"/>
          </w:tcPr>
          <w:p>
            <w:r>
              <w:t>Contact centres, fulfilment partners, outsourced finance or customer support providers</w:t>
            </w:r>
          </w:p>
        </w:tc>
      </w:tr>
    </w:tbl>
    <w:p>
      <w:r>
        <w:t>This policy does not replace procurement, legal, privacy, outsourcing, business continuity, or supplier management policies. Where requirements overlap, the more stringent requirement shall apply for service providers within the scope of this policy.</w:t>
      </w:r>
    </w:p>
    <w:p>
      <w:pPr>
        <w:pStyle w:val="Heading2"/>
      </w:pPr>
      <w:r>
        <w:t>Policy Statements</w:t>
      </w:r>
    </w:p>
    <w:p>
      <w:pPr>
        <w:pStyle w:val="ListBullet"/>
      </w:pPr>
      <w:r>
        <w:t>The organisation shall maintain a complete and current inventory of all third-party service providers that store, process, transmit, can access, or can affect the security of cardholder data or the cardholder data environment.</w:t>
      </w:r>
    </w:p>
    <w:p>
      <w:pPr>
        <w:pStyle w:val="ListBullet"/>
      </w:pPr>
      <w:r>
        <w:t>The third-party service provider inventory shall include, at minimum:</w:t>
      </w:r>
    </w:p>
    <w:p>
      <w:pPr>
        <w:pStyle w:val="ListBullet"/>
      </w:pPr>
      <w:r>
        <w:t>legal entity name and trading name, where applicable;</w:t>
      </w:r>
    </w:p>
    <w:p>
      <w:pPr>
        <w:pStyle w:val="ListBullet"/>
      </w:pPr>
      <w:r>
        <w:t>primary business owner within the organisation;</w:t>
      </w:r>
    </w:p>
    <w:p>
      <w:pPr>
        <w:pStyle w:val="ListBullet"/>
      </w:pPr>
      <w:r>
        <w:t>relationship owner or supplier manager;</w:t>
      </w:r>
    </w:p>
    <w:p>
      <w:pPr>
        <w:pStyle w:val="ListBullet"/>
      </w:pPr>
      <w:r>
        <w:t>description of services provided;</w:t>
      </w:r>
    </w:p>
    <w:p>
      <w:pPr>
        <w:pStyle w:val="ListBullet"/>
      </w:pPr>
      <w:r>
        <w:t>systems, locations, applications, networks, or data affected;</w:t>
      </w:r>
    </w:p>
    <w:p>
      <w:pPr>
        <w:pStyle w:val="ListBullet"/>
      </w:pPr>
      <w:r>
        <w:t>whether the provider stores, processes, transmits, can access, or can affect the security of cardholder data;</w:t>
      </w:r>
    </w:p>
    <w:p>
      <w:pPr>
        <w:pStyle w:val="ListBullet"/>
      </w:pPr>
      <w:r>
        <w:t>type of access granted, including remote, administrative, physical, support, API, network, or application access;</w:t>
      </w:r>
    </w:p>
    <w:p>
      <w:pPr>
        <w:pStyle w:val="ListBullet"/>
      </w:pPr>
      <w:r>
        <w:t>PCI DSS responsibility category and service dependency;</w:t>
      </w:r>
    </w:p>
    <w:p>
      <w:pPr>
        <w:pStyle w:val="ListBullet"/>
      </w:pPr>
      <w:r>
        <w:t>compliance validation status;</w:t>
      </w:r>
    </w:p>
    <w:p>
      <w:pPr>
        <w:pStyle w:val="ListBullet"/>
      </w:pPr>
      <w:r>
        <w:t>date of last due diligence review;</w:t>
      </w:r>
    </w:p>
    <w:p>
      <w:pPr>
        <w:pStyle w:val="ListBullet"/>
      </w:pPr>
      <w:r>
        <w:t>date of last compliance evidence received;</w:t>
      </w:r>
    </w:p>
    <w:p>
      <w:pPr>
        <w:pStyle w:val="ListBullet"/>
      </w:pPr>
      <w:r>
        <w:t>contractual status;</w:t>
      </w:r>
    </w:p>
    <w:p>
      <w:pPr>
        <w:pStyle w:val="ListBullet"/>
      </w:pPr>
      <w:r>
        <w:t>criticality and risk rating;</w:t>
      </w:r>
    </w:p>
    <w:p>
      <w:pPr>
        <w:pStyle w:val="ListBullet"/>
      </w:pPr>
      <w:r>
        <w:t>subcontractor involvement, where known;</w:t>
      </w:r>
    </w:p>
    <w:p>
      <w:pPr>
        <w:pStyle w:val="ListBullet"/>
      </w:pPr>
      <w:r>
        <w:t>renewal or termination date; and</w:t>
      </w:r>
    </w:p>
    <w:p>
      <w:pPr>
        <w:pStyle w:val="ListBullet"/>
      </w:pPr>
      <w:r>
        <w:t>open risks, issues, exceptions, or remediation actions.</w:t>
      </w:r>
    </w:p>
    <w:p>
      <w:pPr>
        <w:pStyle w:val="ListBullet"/>
      </w:pPr>
      <w:r>
        <w:t>The third-party service provider inventory shall be maintained in [third-party risk management system / GRC platform / supplier register] and shall be reviewed for accuracy at least annually and whenever a new provider is onboarded, changed, renewed, or terminated.</w:t>
      </w:r>
    </w:p>
    <w:p>
      <w:pPr>
        <w:pStyle w:val="ListBullet"/>
      </w:pPr>
      <w:r>
        <w:t>No third-party service provider shall be permitted to store, process, transmit, access, or affect the security of cardholder data or the cardholder data environment until the provider has been identified, assessed, approved, and recorded in the third-party service provider inventory.</w:t>
      </w:r>
    </w:p>
    <w:p>
      <w:pPr>
        <w:pStyle w:val="ListBullet"/>
      </w:pPr>
      <w:r>
        <w:t>Each proposed third-party service provider shall undergo risk-based due diligence before contract execution, service activation, production access, or exchange of cardholder data, whichever occurs first.</w:t>
      </w:r>
    </w:p>
    <w:p>
      <w:pPr>
        <w:pStyle w:val="ListBullet"/>
      </w:pPr>
      <w:r>
        <w:t>Due diligence shall be proportionate to the nature, criticality, access level, data exposure, service model, geographic location, and compliance impact of the proposed service.</w:t>
      </w:r>
    </w:p>
    <w:p>
      <w:pPr>
        <w:pStyle w:val="ListBullet"/>
      </w:pPr>
      <w:r>
        <w:t>Due diligence for in-scope third-party service providers shall include, as applicable:</w:t>
      </w:r>
    </w:p>
    <w:p>
      <w:pPr>
        <w:pStyle w:val="ListBullet"/>
      </w:pPr>
      <w:r>
        <w:t>review of current PCI DSS compliance evidence;</w:t>
      </w:r>
    </w:p>
    <w:p>
      <w:pPr>
        <w:pStyle w:val="ListBullet"/>
      </w:pPr>
      <w:r>
        <w:t>confirmation of the services and locations covered by the provider’s compliance validation;</w:t>
      </w:r>
    </w:p>
    <w:p>
      <w:pPr>
        <w:pStyle w:val="ListBullet"/>
      </w:pPr>
      <w:r>
        <w:t>review of responsibility allocation between the organisation and the provider;</w:t>
      </w:r>
    </w:p>
    <w:p>
      <w:pPr>
        <w:pStyle w:val="ListBullet"/>
      </w:pPr>
      <w:r>
        <w:t>assessment of whether the provider stores, processes, transmits, or can affect the security of cardholder data;</w:t>
      </w:r>
    </w:p>
    <w:p>
      <w:pPr>
        <w:pStyle w:val="ListBullet"/>
      </w:pPr>
      <w:r>
        <w:t>review of security policies, control summaries, independent assurance reports, or equivalent evidence;</w:t>
      </w:r>
    </w:p>
    <w:p>
      <w:pPr>
        <w:pStyle w:val="ListBullet"/>
      </w:pPr>
      <w:r>
        <w:t>review of vulnerability management, incident response, access control, encryption, logging, change management, and secure development practices where relevant to the service;</w:t>
      </w:r>
    </w:p>
    <w:p>
      <w:pPr>
        <w:pStyle w:val="ListBullet"/>
      </w:pPr>
      <w:r>
        <w:t>review of data handling, retention, return, and secure disposal practices;</w:t>
      </w:r>
    </w:p>
    <w:p>
      <w:pPr>
        <w:pStyle w:val="ListBullet"/>
      </w:pPr>
      <w:r>
        <w:t>review of subcontractor governance and flow-down security obligations;</w:t>
      </w:r>
    </w:p>
    <w:p>
      <w:pPr>
        <w:pStyle w:val="ListBullet"/>
      </w:pPr>
      <w:r>
        <w:t>review of breach notification procedures and timelines;</w:t>
      </w:r>
    </w:p>
    <w:p>
      <w:pPr>
        <w:pStyle w:val="ListBullet"/>
      </w:pPr>
      <w:r>
        <w:t>review of business continuity, disaster recovery, and service resilience capabilities;</w:t>
      </w:r>
    </w:p>
    <w:p>
      <w:pPr>
        <w:pStyle w:val="ListBullet"/>
      </w:pPr>
      <w:r>
        <w:t>review of physical and environmental security where facilities are relevant;</w:t>
      </w:r>
    </w:p>
    <w:p>
      <w:pPr>
        <w:pStyle w:val="ListBullet"/>
      </w:pPr>
      <w:r>
        <w:t>review of privacy, confidentiality, and data protection requirements where applicable; and</w:t>
      </w:r>
    </w:p>
    <w:p>
      <w:pPr>
        <w:pStyle w:val="ListBullet"/>
      </w:pPr>
      <w:r>
        <w:t>identification of residual risks requiring treatment, acceptance, or contractual mitigation.</w:t>
      </w:r>
    </w:p>
    <w:p>
      <w:pPr>
        <w:pStyle w:val="ListBullet"/>
      </w:pPr>
      <w:r>
        <w:t>Third-party service providers shall be assigned a risk rating using the organisation’s approved third-party risk methodology.</w:t>
      </w:r>
    </w:p>
    <w:p>
      <w:pPr>
        <w:pStyle w:val="ListBullet"/>
      </w:pPr>
      <w:r>
        <w:t>At minimum, any provider that stores, processes, transmits, has administrative access to, or could materially affect the security or availability of the cardholder data environment shall be rated as high risk unless a documented risk assessment supports a lower rating.</w:t>
      </w:r>
    </w:p>
    <w:p>
      <w:pPr>
        <w:pStyle w:val="ListBullet"/>
      </w:pPr>
      <w:r>
        <w:t>The following minimum due diligence evidence shall be obtained before approval, unless an approved exception is granted:</w:t>
      </w:r>
    </w:p>
    <w:tbl>
      <w:tblPr>
        <w:tblStyle w:val="TableGrid"/>
        <w:tblW w:type="auto" w:w="0"/>
        <w:tblLook w:firstColumn="1" w:firstRow="1" w:lastColumn="0" w:lastRow="0" w:noHBand="0" w:noVBand="1" w:val="04A0"/>
      </w:tblPr>
      <w:tblGrid>
        <w:gridCol w:w="4320"/>
        <w:gridCol w:w="4320"/>
      </w:tblGrid>
      <w:tr>
        <w:tc>
          <w:tcPr>
            <w:tcW w:type="dxa" w:w="4320"/>
          </w:tcPr>
          <w:p>
            <w:r>
              <w:t>Provider Category</w:t>
            </w:r>
          </w:p>
        </w:tc>
        <w:tc>
          <w:tcPr>
            <w:tcW w:type="dxa" w:w="4320"/>
          </w:tcPr>
          <w:p>
            <w:r>
              <w:t>Minimum Evidence Required Before Approval</w:t>
            </w:r>
          </w:p>
        </w:tc>
      </w:tr>
      <w:tr>
        <w:tc>
          <w:tcPr>
            <w:tcW w:type="dxa" w:w="4320"/>
          </w:tcPr>
          <w:p>
            <w:r>
              <w:t>Provider stores, processes, or transmits cardholder data</w:t>
            </w:r>
          </w:p>
        </w:tc>
        <w:tc>
          <w:tcPr>
            <w:tcW w:type="dxa" w:w="4320"/>
          </w:tcPr>
          <w:p>
            <w:r>
              <w:t>Current PCI DSS compliance attestation or equivalent validation covering the specific service used; responsibility matrix; security questionnaire or assurance report; incident notification commitments</w:t>
            </w:r>
          </w:p>
        </w:tc>
      </w:tr>
      <w:tr>
        <w:tc>
          <w:tcPr>
            <w:tcW w:type="dxa" w:w="4320"/>
          </w:tcPr>
          <w:p>
            <w:r>
              <w:t>Provider can affect security of the cardholder data environment but does not handle cardholder data</w:t>
            </w:r>
          </w:p>
        </w:tc>
        <w:tc>
          <w:tcPr>
            <w:tcW w:type="dxa" w:w="4320"/>
          </w:tcPr>
          <w:p>
            <w:r>
              <w:t>Security questionnaire or assurance report; description of relevant controls; responsibility matrix; access control and incident response commitments</w:t>
            </w:r>
          </w:p>
        </w:tc>
      </w:tr>
      <w:tr>
        <w:tc>
          <w:tcPr>
            <w:tcW w:type="dxa" w:w="4320"/>
          </w:tcPr>
          <w:p>
            <w:r>
              <w:t>Provider has administrative or remote access to payment systems</w:t>
            </w:r>
          </w:p>
        </w:tc>
        <w:tc>
          <w:tcPr>
            <w:tcW w:type="dxa" w:w="4320"/>
          </w:tcPr>
          <w:p>
            <w:r>
              <w:t>Access management evidence; multi-factor authentication confirmation; logging and monitoring commitments; secure remote access controls; incident notification commitments</w:t>
            </w:r>
          </w:p>
        </w:tc>
      </w:tr>
      <w:tr>
        <w:tc>
          <w:tcPr>
            <w:tcW w:type="dxa" w:w="4320"/>
          </w:tcPr>
          <w:p>
            <w:r>
              <w:t>Provider supplies payment software or hosted payment functionality</w:t>
            </w:r>
          </w:p>
        </w:tc>
        <w:tc>
          <w:tcPr>
            <w:tcW w:type="dxa" w:w="4320"/>
          </w:tcPr>
          <w:p>
            <w:r>
              <w:t>Secure development and change management evidence; vulnerability management evidence; current compliance or security assurance evidence applicable to the service; responsibility matrix</w:t>
            </w:r>
          </w:p>
        </w:tc>
      </w:tr>
      <w:tr>
        <w:tc>
          <w:tcPr>
            <w:tcW w:type="dxa" w:w="4320"/>
          </w:tcPr>
          <w:p>
            <w:r>
              <w:t>Provider handles storage, backup, disposal, or media containing payment data</w:t>
            </w:r>
          </w:p>
        </w:tc>
        <w:tc>
          <w:tcPr>
            <w:tcW w:type="dxa" w:w="4320"/>
          </w:tcPr>
          <w:p>
            <w:r>
              <w:t>Data handling procedures; encryption or secure storage evidence; chain-of-custody controls; secure destruction evidence; incident notification commitments</w:t>
            </w:r>
          </w:p>
        </w:tc>
      </w:tr>
    </w:tbl>
    <w:p>
      <w:pPr>
        <w:pStyle w:val="ListBullet"/>
      </w:pPr>
      <w:r>
        <w:t>The organisation shall obtain written approval from the business owner, Information Security, Third-Party Risk Management, and Legal or Procurement before engaging any in-scope third-party service provider.</w:t>
      </w:r>
    </w:p>
    <w:p>
      <w:pPr>
        <w:pStyle w:val="ListBullet"/>
      </w:pPr>
      <w:r>
        <w:t>Written agreements shall be in place with each third-party service provider before the provider is granted access to the cardholder data environment, receives cardholder data, begins payment-related processing, or performs services that could affect payment security.</w:t>
      </w:r>
    </w:p>
    <w:p>
      <w:pPr>
        <w:pStyle w:val="ListBullet"/>
      </w:pPr>
      <w:r>
        <w:t>Written agreements shall clearly state that the third-party service provider is responsible for protecting cardholder data that it stores, processes, transmits, or can access, and for maintaining appropriate security controls for any services that could affect the organisation’s PCI DSS compliance.</w:t>
      </w:r>
    </w:p>
    <w:p>
      <w:pPr>
        <w:pStyle w:val="ListBullet"/>
      </w:pPr>
      <w:r>
        <w:t>Written agreements with in-scope third-party service providers shall include, as applicable:</w:t>
      </w:r>
    </w:p>
    <w:p>
      <w:pPr>
        <w:pStyle w:val="ListBullet"/>
      </w:pPr>
      <w:r>
        <w:t>description of the services provided;</w:t>
      </w:r>
    </w:p>
    <w:p>
      <w:pPr>
        <w:pStyle w:val="ListBullet"/>
      </w:pPr>
      <w:r>
        <w:t>description of cardholder data or systems in scope;</w:t>
      </w:r>
    </w:p>
    <w:p>
      <w:pPr>
        <w:pStyle w:val="ListBullet"/>
      </w:pPr>
      <w:r>
        <w:t>defined security and compliance responsibilities of each party;</w:t>
      </w:r>
    </w:p>
    <w:p>
      <w:pPr>
        <w:pStyle w:val="ListBullet"/>
      </w:pPr>
      <w:r>
        <w:t>obligation to maintain applicable PCI DSS compliance for the services provided;</w:t>
      </w:r>
    </w:p>
    <w:p>
      <w:pPr>
        <w:pStyle w:val="ListBullet"/>
      </w:pPr>
      <w:r>
        <w:t>obligation to provide current compliance evidence upon request and at agreed intervals;</w:t>
      </w:r>
    </w:p>
    <w:p>
      <w:pPr>
        <w:pStyle w:val="ListBullet"/>
      </w:pPr>
      <w:r>
        <w:t>obligation to notify the organisation of any change in compliance status that may affect the service;</w:t>
      </w:r>
    </w:p>
    <w:p>
      <w:pPr>
        <w:pStyle w:val="ListBullet"/>
      </w:pPr>
      <w:r>
        <w:t>confidentiality and data protection requirements;</w:t>
      </w:r>
    </w:p>
    <w:p>
      <w:pPr>
        <w:pStyle w:val="ListBullet"/>
      </w:pPr>
      <w:r>
        <w:t>restrictions on storage, processing, transmission, copying, disclosure, and retention of cardholder data;</w:t>
      </w:r>
    </w:p>
    <w:p>
      <w:pPr>
        <w:pStyle w:val="ListBullet"/>
      </w:pPr>
      <w:r>
        <w:t>requirement to use strong encryption and secure transmission methods where cardholder data is handled;</w:t>
      </w:r>
    </w:p>
    <w:p>
      <w:pPr>
        <w:pStyle w:val="ListBullet"/>
      </w:pPr>
      <w:r>
        <w:t>access control requirements, including least privilege, unique user identification, secure authentication, and timely access removal;</w:t>
      </w:r>
    </w:p>
    <w:p>
      <w:pPr>
        <w:pStyle w:val="ListBullet"/>
      </w:pPr>
      <w:r>
        <w:t>logging, monitoring, vulnerability management, and security maintenance expectations where relevant;</w:t>
      </w:r>
    </w:p>
    <w:p>
      <w:pPr>
        <w:pStyle w:val="ListBullet"/>
      </w:pPr>
      <w:r>
        <w:t>secure development and change management obligations where software or hosted applications are provided;</w:t>
      </w:r>
    </w:p>
    <w:p>
      <w:pPr>
        <w:pStyle w:val="ListBullet"/>
      </w:pPr>
      <w:r>
        <w:t>right to request security evidence, audit reports, remediation status, and control information relevant to the service;</w:t>
      </w:r>
    </w:p>
    <w:p>
      <w:pPr>
        <w:pStyle w:val="ListBullet"/>
      </w:pPr>
      <w:r>
        <w:t>right to audit or assess the provider, directly or through an independent assessor, where necessary and contractually appropriate;</w:t>
      </w:r>
    </w:p>
    <w:p>
      <w:pPr>
        <w:pStyle w:val="ListBullet"/>
      </w:pPr>
      <w:r>
        <w:t>incident notification obligations, including prompt notification of confirmed or suspected compromise involving cardholder data, payment systems, credentials, security controls, or service integrity;</w:t>
      </w:r>
    </w:p>
    <w:p>
      <w:pPr>
        <w:pStyle w:val="ListBullet"/>
      </w:pPr>
      <w:r>
        <w:t>cooperation obligations during security investigations, forensic reviews, compliance assessments, and incident response activities;</w:t>
      </w:r>
    </w:p>
    <w:p>
      <w:pPr>
        <w:pStyle w:val="ListBullet"/>
      </w:pPr>
      <w:r>
        <w:t>requirements for secure return, transfer, deletion, or destruction of cardholder data at termination or upon request;</w:t>
      </w:r>
    </w:p>
    <w:p>
      <w:pPr>
        <w:pStyle w:val="ListBullet"/>
      </w:pPr>
      <w:r>
        <w:t>restrictions and approval requirements for subcontractors that may affect the service or payment data;</w:t>
      </w:r>
    </w:p>
    <w:p>
      <w:pPr>
        <w:pStyle w:val="ListBullet"/>
      </w:pPr>
      <w:r>
        <w:t>obligation to flow down relevant security and compliance requirements to approved subcontractors;</w:t>
      </w:r>
    </w:p>
    <w:p>
      <w:pPr>
        <w:pStyle w:val="ListBullet"/>
      </w:pPr>
      <w:r>
        <w:t>notification requirements for material changes to systems, locations, subcontractors, service delivery model, or control environment;</w:t>
      </w:r>
    </w:p>
    <w:p>
      <w:pPr>
        <w:pStyle w:val="ListBullet"/>
      </w:pPr>
      <w:r>
        <w:t>business continuity and disaster recovery expectations where service disruption could affect payment operations;</w:t>
      </w:r>
    </w:p>
    <w:p>
      <w:pPr>
        <w:pStyle w:val="ListBullet"/>
      </w:pPr>
      <w:r>
        <w:t>data location, cross-border transfer, and legal jurisdiction requirements where applicable;</w:t>
      </w:r>
    </w:p>
    <w:p>
      <w:pPr>
        <w:pStyle w:val="ListBullet"/>
      </w:pPr>
      <w:r>
        <w:t>remedies for non-compliance, failure to provide evidence, material security deficiencies, or breach of security obligations; and</w:t>
      </w:r>
    </w:p>
    <w:p>
      <w:pPr>
        <w:pStyle w:val="ListBullet"/>
      </w:pPr>
      <w:r>
        <w:t>termination rights where unacceptable security or compliance risk exists.</w:t>
      </w:r>
    </w:p>
    <w:p>
      <w:pPr>
        <w:pStyle w:val="ListBullet"/>
      </w:pPr>
      <w:r>
        <w:t>Responsibility for PCI DSS-related activities shall be documented for each in-scope third-party service provider.</w:t>
      </w:r>
    </w:p>
    <w:p>
      <w:pPr>
        <w:pStyle w:val="ListBullet"/>
      </w:pPr>
      <w:r>
        <w:t>The organisation shall maintain a written responsibility matrix for each service provider relationship where responsibilities for security controls, operational activities, evidence production, incident response, and compliance validation are shared.</w:t>
      </w:r>
    </w:p>
    <w:p>
      <w:pPr>
        <w:pStyle w:val="ListBullet"/>
      </w:pPr>
      <w:r>
        <w:t>The responsibility matrix shall be reviewed and confirmed during onboarding, contract renewal, material service change, compliance assessment preparation, and at least annually.</w:t>
      </w:r>
    </w:p>
    <w:p>
      <w:pPr>
        <w:pStyle w:val="ListBullet"/>
      </w:pPr>
      <w:r>
        <w:t>The responsibility matrix shall be sufficiently detailed to identify which party is responsible, accountable, consulted, or informed for each relevant activity, including, where applicable:</w:t>
      </w:r>
    </w:p>
    <w:p>
      <w:pPr>
        <w:pStyle w:val="ListBullet"/>
      </w:pPr>
      <w:r>
        <w:t>network security control management;</w:t>
      </w:r>
    </w:p>
    <w:p>
      <w:pPr>
        <w:pStyle w:val="ListBullet"/>
      </w:pPr>
      <w:r>
        <w:t>system hardening and configuration;</w:t>
      </w:r>
    </w:p>
    <w:p>
      <w:pPr>
        <w:pStyle w:val="ListBullet"/>
      </w:pPr>
      <w:r>
        <w:t>vulnerability scanning and remediation;</w:t>
      </w:r>
    </w:p>
    <w:p>
      <w:pPr>
        <w:pStyle w:val="ListBullet"/>
      </w:pPr>
      <w:r>
        <w:t>penetration testing support;</w:t>
      </w:r>
    </w:p>
    <w:p>
      <w:pPr>
        <w:pStyle w:val="ListBullet"/>
      </w:pPr>
      <w:r>
        <w:t>patching and change management;</w:t>
      </w:r>
    </w:p>
    <w:p>
      <w:pPr>
        <w:pStyle w:val="ListBullet"/>
      </w:pPr>
      <w:r>
        <w:t>access provisioning and deprovisioning;</w:t>
      </w:r>
    </w:p>
    <w:p>
      <w:pPr>
        <w:pStyle w:val="ListBullet"/>
      </w:pPr>
      <w:r>
        <w:t>authentication and remote access controls;</w:t>
      </w:r>
    </w:p>
    <w:p>
      <w:pPr>
        <w:pStyle w:val="ListBullet"/>
      </w:pPr>
      <w:r>
        <w:t>encryption key management;</w:t>
      </w:r>
    </w:p>
    <w:p>
      <w:pPr>
        <w:pStyle w:val="ListBullet"/>
      </w:pPr>
      <w:r>
        <w:t>logging and monitoring;</w:t>
      </w:r>
    </w:p>
    <w:p>
      <w:pPr>
        <w:pStyle w:val="ListBullet"/>
      </w:pPr>
      <w:r>
        <w:t>incident detection, notification, investigation, and response;</w:t>
      </w:r>
    </w:p>
    <w:p>
      <w:pPr>
        <w:pStyle w:val="ListBullet"/>
      </w:pPr>
      <w:r>
        <w:t>secure software development;</w:t>
      </w:r>
    </w:p>
    <w:p>
      <w:pPr>
        <w:pStyle w:val="ListBullet"/>
      </w:pPr>
      <w:r>
        <w:t>data retention and disposal;</w:t>
      </w:r>
    </w:p>
    <w:p>
      <w:pPr>
        <w:pStyle w:val="ListBullet"/>
      </w:pPr>
      <w:r>
        <w:t>backup and recovery;</w:t>
      </w:r>
    </w:p>
    <w:p>
      <w:pPr>
        <w:pStyle w:val="ListBullet"/>
      </w:pPr>
      <w:r>
        <w:t>physical security;</w:t>
      </w:r>
    </w:p>
    <w:p>
      <w:pPr>
        <w:pStyle w:val="ListBullet"/>
      </w:pPr>
      <w:r>
        <w:t>subcontractor oversight;</w:t>
      </w:r>
    </w:p>
    <w:p>
      <w:pPr>
        <w:pStyle w:val="ListBullet"/>
      </w:pPr>
      <w:r>
        <w:t>compliance evidence production; and</w:t>
      </w:r>
    </w:p>
    <w:p>
      <w:pPr>
        <w:pStyle w:val="ListBullet"/>
      </w:pPr>
      <w:r>
        <w:t>remediation of control gaps.</w:t>
      </w:r>
    </w:p>
    <w:p>
      <w:pPr>
        <w:pStyle w:val="ListBullet"/>
      </w:pPr>
      <w:r>
        <w:t>The organisation shall not rely on a third-party service provider’s general marketing statements, website claims, or unsupported assertions as sufficient evidence of compliance or security capability.</w:t>
      </w:r>
    </w:p>
    <w:p>
      <w:pPr>
        <w:pStyle w:val="ListBullet"/>
      </w:pPr>
      <w:r>
        <w:t>Current compliance evidence from third-party service providers shall be obtained and reviewed at least annually, and more frequently where required by risk, contract terms, material changes, prior issues, or the organisation’s compliance assessment schedule.</w:t>
      </w:r>
    </w:p>
    <w:p>
      <w:pPr>
        <w:pStyle w:val="ListBullet"/>
      </w:pPr>
      <w:r>
        <w:t>The organisation shall validate that compliance evidence received from a third-party service provider applies to the specific services, locations, systems, data flows, and support arrangements used by the organisation.</w:t>
      </w:r>
    </w:p>
    <w:p>
      <w:pPr>
        <w:pStyle w:val="ListBullet"/>
      </w:pPr>
      <w:r>
        <w:t>Where a provider’s compliance evidence does not cover the specific service used, the organisation shall perform additional due diligence, document compensating assurance, define risk treatment actions, or reject the service.</w:t>
      </w:r>
    </w:p>
    <w:p>
      <w:pPr>
        <w:pStyle w:val="ListBullet"/>
      </w:pPr>
      <w:r>
        <w:t>Third-party service providers shall be monitored throughout the relationship based on risk rating and service criticality.</w:t>
      </w:r>
    </w:p>
    <w:p>
      <w:pPr>
        <w:pStyle w:val="ListBullet"/>
      </w:pPr>
      <w:r>
        <w:t>Minimum monitoring frequency shall be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Risk Rating</w:t>
            </w:r>
          </w:p>
        </w:tc>
        <w:tc>
          <w:tcPr>
            <w:tcW w:type="dxa" w:w="2880"/>
          </w:tcPr>
          <w:p>
            <w:r>
              <w:t>Monitoring Frequency</w:t>
            </w:r>
          </w:p>
        </w:tc>
        <w:tc>
          <w:tcPr>
            <w:tcW w:type="dxa" w:w="2880"/>
          </w:tcPr>
          <w:p>
            <w:r>
              <w:t>Minimum Monitoring Activities</w:t>
            </w:r>
          </w:p>
        </w:tc>
      </w:tr>
      <w:tr>
        <w:tc>
          <w:tcPr>
            <w:tcW w:type="dxa" w:w="2880"/>
          </w:tcPr>
          <w:p>
            <w:r>
              <w:t>Critical</w:t>
            </w:r>
          </w:p>
        </w:tc>
        <w:tc>
          <w:tcPr>
            <w:tcW w:type="dxa" w:w="2880"/>
          </w:tcPr>
          <w:p>
            <w:r>
              <w:t>Quarterly</w:t>
            </w:r>
          </w:p>
        </w:tc>
        <w:tc>
          <w:tcPr>
            <w:tcW w:type="dxa" w:w="2880"/>
          </w:tcPr>
          <w:p>
            <w:r>
              <w:t>Compliance status check, open risk review, incident and change review, service performance review, evidence refresh where required</w:t>
            </w:r>
          </w:p>
        </w:tc>
      </w:tr>
      <w:tr>
        <w:tc>
          <w:tcPr>
            <w:tcW w:type="dxa" w:w="2880"/>
          </w:tcPr>
          <w:p>
            <w:r>
              <w:t>High</w:t>
            </w:r>
          </w:p>
        </w:tc>
        <w:tc>
          <w:tcPr>
            <w:tcW w:type="dxa" w:w="2880"/>
          </w:tcPr>
          <w:p>
            <w:r>
              <w:t>Semi-annually</w:t>
            </w:r>
          </w:p>
        </w:tc>
        <w:tc>
          <w:tcPr>
            <w:tcW w:type="dxa" w:w="2880"/>
          </w:tcPr>
          <w:p>
            <w:r>
              <w:t>Compliance status check, risk and issue review, material change review, evidence refresh where required</w:t>
            </w:r>
          </w:p>
        </w:tc>
      </w:tr>
      <w:tr>
        <w:tc>
          <w:tcPr>
            <w:tcW w:type="dxa" w:w="2880"/>
          </w:tcPr>
          <w:p>
            <w:r>
              <w:t>Medium</w:t>
            </w:r>
          </w:p>
        </w:tc>
        <w:tc>
          <w:tcPr>
            <w:tcW w:type="dxa" w:w="2880"/>
          </w:tcPr>
          <w:p>
            <w:r>
              <w:t>Annually</w:t>
            </w:r>
          </w:p>
        </w:tc>
        <w:tc>
          <w:tcPr>
            <w:tcW w:type="dxa" w:w="2880"/>
          </w:tcPr>
          <w:p>
            <w:r>
              <w:t>Compliance evidence review, risk reassessment, contract and responsibility review</w:t>
            </w:r>
          </w:p>
        </w:tc>
      </w:tr>
      <w:tr>
        <w:tc>
          <w:tcPr>
            <w:tcW w:type="dxa" w:w="2880"/>
          </w:tcPr>
          <w:p>
            <w:r>
              <w:t>Low</w:t>
            </w:r>
          </w:p>
        </w:tc>
        <w:tc>
          <w:tcPr>
            <w:tcW w:type="dxa" w:w="2880"/>
          </w:tcPr>
          <w:p>
            <w:r>
              <w:t>At renewal or at least every two years</w:t>
            </w:r>
          </w:p>
        </w:tc>
        <w:tc>
          <w:tcPr>
            <w:tcW w:type="dxa" w:w="2880"/>
          </w:tcPr>
          <w:p>
            <w:r>
              <w:t>Inventory confirmation, service scope confirmation, risk rating review</w:t>
            </w:r>
          </w:p>
        </w:tc>
      </w:tr>
    </w:tbl>
    <w:p>
      <w:pPr>
        <w:pStyle w:val="ListBullet"/>
      </w:pPr>
      <w:r>
        <w:t>Any third-party service provider that experiences a security incident, material control failure, change in compliance status, significant service change, change of ownership, major subcontractor change, or repeated service failure shall be reassessed promptly.</w:t>
      </w:r>
    </w:p>
    <w:p>
      <w:pPr>
        <w:pStyle w:val="ListBullet"/>
      </w:pPr>
      <w:r>
        <w:t>Third-party service providers shall be required to notify the organisation promptly of confirmed or suspected security incidents that may involve cardholder data, payment systems, security credentials, logging or monitoring capabilities, encryption keys, remote access mechanisms, or systems connected to the cardholder data environment.</w:t>
      </w:r>
    </w:p>
    <w:p>
      <w:pPr>
        <w:pStyle w:val="ListBullet"/>
      </w:pPr>
      <w:r>
        <w:t>Incident notification requirements shall include contact paths, escalation expectations, information to be provided, cooperation requirements, evidence preservation expectations, and continuing status updates until containment and remediation are complete.</w:t>
      </w:r>
    </w:p>
    <w:p>
      <w:pPr>
        <w:pStyle w:val="ListBullet"/>
      </w:pPr>
      <w:r>
        <w:t>The organisation shall maintain an up-to-date contact list for each in-scope third-party service provider, including business, security, incident response, contract, and escalation contacts.</w:t>
      </w:r>
    </w:p>
    <w:p>
      <w:pPr>
        <w:pStyle w:val="ListBullet"/>
      </w:pPr>
      <w:r>
        <w:t>Third-party service provider access to systems, networks, applications, facilities, or data shall be limited to the minimum necessary for the approved service.</w:t>
      </w:r>
    </w:p>
    <w:p>
      <w:pPr>
        <w:pStyle w:val="ListBullet"/>
      </w:pPr>
      <w:r>
        <w:t>Third-party service provider access shall be granted only through approved access management processes and shall be subject to authentication, authorisation, monitoring, logging, and periodic review requirements.</w:t>
      </w:r>
    </w:p>
    <w:p>
      <w:pPr>
        <w:pStyle w:val="ListBullet"/>
      </w:pPr>
      <w:r>
        <w:t>Third-party service provider access shall be reviewed at least quarterly for providers with administrative, remote, privileged, or persistent access to the cardholder data environment.</w:t>
      </w:r>
    </w:p>
    <w:p>
      <w:pPr>
        <w:pStyle w:val="ListBullet"/>
      </w:pPr>
      <w:r>
        <w:t>Third-party service provider access shall be removed or disabled promptly upon contract termination, service completion, role change, access no longer being required, or identification of unacceptable risk.</w:t>
      </w:r>
    </w:p>
    <w:p>
      <w:pPr>
        <w:pStyle w:val="ListBullet"/>
      </w:pPr>
      <w:r>
        <w:t>Third-party service providers shall not use subcontractors that may store, process, transmit, access, or affect the security of cardholder data or the cardholder data environment unless subcontractor use is permitted under the written agreement and the organisation has received required notification or approval.</w:t>
      </w:r>
    </w:p>
    <w:p>
      <w:pPr>
        <w:pStyle w:val="ListBullet"/>
      </w:pPr>
      <w:r>
        <w:t>The organisation shall require service providers to maintain oversight of approved subcontractors and to ensure relevant security, compliance, confidentiality, incident notification, and data handling obligations are contractually flowed down.</w:t>
      </w:r>
    </w:p>
    <w:p>
      <w:pPr>
        <w:pStyle w:val="ListBullet"/>
      </w:pPr>
      <w:r>
        <w:t>Material changes to a third-party service provider relationship shall be assessed before implementation where feasible, or promptly after notification where prior assessment is not possible.</w:t>
      </w:r>
    </w:p>
    <w:p>
      <w:pPr>
        <w:pStyle w:val="ListBullet"/>
      </w:pPr>
      <w:r>
        <w:t>Material changes include changes to:</w:t>
      </w:r>
    </w:p>
    <w:p>
      <w:pPr>
        <w:pStyle w:val="ListBullet"/>
      </w:pPr>
      <w:r>
        <w:t>service scope;</w:t>
      </w:r>
    </w:p>
    <w:p>
      <w:pPr>
        <w:pStyle w:val="ListBullet"/>
      </w:pPr>
      <w:r>
        <w:t>payment data flows;</w:t>
      </w:r>
    </w:p>
    <w:p>
      <w:pPr>
        <w:pStyle w:val="ListBullet"/>
      </w:pPr>
      <w:r>
        <w:t>systems or locations used to deliver the service;</w:t>
      </w:r>
    </w:p>
    <w:p>
      <w:pPr>
        <w:pStyle w:val="ListBullet"/>
      </w:pPr>
      <w:r>
        <w:t>hosting model or cloud region;</w:t>
      </w:r>
    </w:p>
    <w:p>
      <w:pPr>
        <w:pStyle w:val="ListBullet"/>
      </w:pPr>
      <w:r>
        <w:t>subcontractors;</w:t>
      </w:r>
    </w:p>
    <w:p>
      <w:pPr>
        <w:pStyle w:val="ListBullet"/>
      </w:pPr>
      <w:r>
        <w:t>remote access methods;</w:t>
      </w:r>
    </w:p>
    <w:p>
      <w:pPr>
        <w:pStyle w:val="ListBullet"/>
      </w:pPr>
      <w:r>
        <w:t>authentication mechanisms;</w:t>
      </w:r>
    </w:p>
    <w:p>
      <w:pPr>
        <w:pStyle w:val="ListBullet"/>
      </w:pPr>
      <w:r>
        <w:t>security controls;</w:t>
      </w:r>
    </w:p>
    <w:p>
      <w:pPr>
        <w:pStyle w:val="ListBullet"/>
      </w:pPr>
      <w:r>
        <w:t>compliance status;</w:t>
      </w:r>
    </w:p>
    <w:p>
      <w:pPr>
        <w:pStyle w:val="ListBullet"/>
      </w:pPr>
      <w:r>
        <w:t>ownership or corporate structure;</w:t>
      </w:r>
    </w:p>
    <w:p>
      <w:pPr>
        <w:pStyle w:val="ListBullet"/>
      </w:pPr>
      <w:r>
        <w:t>incident response contacts;</w:t>
      </w:r>
    </w:p>
    <w:p>
      <w:pPr>
        <w:pStyle w:val="ListBullet"/>
      </w:pPr>
      <w:r>
        <w:t>data retention practices; or</w:t>
      </w:r>
    </w:p>
    <w:p>
      <w:pPr>
        <w:pStyle w:val="ListBullet"/>
      </w:pPr>
      <w:r>
        <w:t>termination, migration, or transition arrangements.</w:t>
      </w:r>
    </w:p>
    <w:p>
      <w:pPr>
        <w:pStyle w:val="ListBullet"/>
      </w:pPr>
      <w:r>
        <w:t>Security risks, compliance gaps, missing evidence, expired attestations, contract deficiencies, and provider control weaknesses shall be recorded in the organisation’s risk or issue management system.</w:t>
      </w:r>
    </w:p>
    <w:p>
      <w:pPr>
        <w:pStyle w:val="ListBullet"/>
      </w:pPr>
      <w:r>
        <w:t>Remediation actions for third-party service provider issues shall have assigned owners, due dates, severity ratings, and documented status updates.</w:t>
      </w:r>
    </w:p>
    <w:p>
      <w:pPr>
        <w:pStyle w:val="ListBullet"/>
      </w:pPr>
      <w:r>
        <w:t>Where a third-party service provider fails to remediate a significant security or compliance issue within agreed timelines, the issue shall be escalated to the business owner, Information Security, Legal, Procurement, and senior management as appropriate.</w:t>
      </w:r>
    </w:p>
    <w:p>
      <w:pPr>
        <w:pStyle w:val="ListBullet"/>
      </w:pPr>
      <w:r>
        <w:t>The organisation shall maintain evidence supporting the third-party service provider management lifecycle, including due diligence records, approvals, contracts, compliance evidence, responsibility matrices, risk assessments, monitoring records, access reviews, issue tracking, and termination records.</w:t>
      </w:r>
    </w:p>
    <w:p>
      <w:pPr>
        <w:pStyle w:val="ListBullet"/>
      </w:pPr>
      <w:r>
        <w:t>Records related to third-party service provider management shall be retained in accordance with the organisation’s records retention requirements and shall be available to support internal reviews, external assessments, incident investigations, and compliance validation activities.</w:t>
      </w:r>
    </w:p>
    <w:p>
      <w:pPr>
        <w:pStyle w:val="ListBullet"/>
      </w:pPr>
      <w:r>
        <w:t>No payment-related production service shall be migrated to, renewed with, or materially expanded with a third-party service provider that has unresolved high-risk security concerns unless the risk has been formally accepted by authorised management and compensating actions have been documented.</w:t>
      </w:r>
    </w:p>
    <w:p>
      <w:pPr>
        <w:pStyle w:val="ListBullet"/>
      </w:pPr>
      <w:r>
        <w:t>Where a third-party service provider relationship is terminated, the organisation shall ensure that:</w:t>
      </w:r>
    </w:p>
    <w:p>
      <w:pPr>
        <w:pStyle w:val="ListBullet"/>
      </w:pPr>
      <w:r>
        <w:t>access is revoked;</w:t>
      </w:r>
    </w:p>
    <w:p>
      <w:pPr>
        <w:pStyle w:val="ListBullet"/>
      </w:pPr>
      <w:r>
        <w:t>cardholder data is returned, securely transferred, deleted, or destroyed as contractually required;</w:t>
      </w:r>
    </w:p>
    <w:p>
      <w:pPr>
        <w:pStyle w:val="ListBullet"/>
      </w:pPr>
      <w:r>
        <w:t>data destruction evidence is obtained where applicable;</w:t>
      </w:r>
    </w:p>
    <w:p>
      <w:pPr>
        <w:pStyle w:val="ListBullet"/>
      </w:pPr>
      <w:r>
        <w:t>credentials, certificates, tokens, keys, VPN accounts, API keys, and service accounts are disabled or rotated where necessary;</w:t>
      </w:r>
    </w:p>
    <w:p>
      <w:pPr>
        <w:pStyle w:val="ListBullet"/>
      </w:pPr>
      <w:r>
        <w:t>integrations and network connections are removed or disabled;</w:t>
      </w:r>
    </w:p>
    <w:p>
      <w:pPr>
        <w:pStyle w:val="ListBullet"/>
      </w:pPr>
      <w:r>
        <w:t>provider-owned assets, media, or documentation are returned where applicable;</w:t>
      </w:r>
    </w:p>
    <w:p>
      <w:pPr>
        <w:pStyle w:val="ListBullet"/>
      </w:pPr>
      <w:r>
        <w:t>transition risks are assessed and managed;</w:t>
      </w:r>
    </w:p>
    <w:p>
      <w:pPr>
        <w:pStyle w:val="ListBullet"/>
      </w:pPr>
      <w:r>
        <w:t>the third-party service provider inventory is updated; and</w:t>
      </w:r>
    </w:p>
    <w:p>
      <w:pPr>
        <w:pStyle w:val="ListBullet"/>
      </w:pPr>
      <w:r>
        <w:t>closure evidence is retained.</w:t>
      </w:r>
    </w:p>
    <w:p>
      <w:pPr>
        <w:pStyle w:val="ListBullet"/>
      </w:pPr>
      <w:r>
        <w:t>The organisation shall ensure personnel involved in procurement, supplier management, payment operations, technology, information security, legal, and contract management understand their responsibilities under this policy.</w:t>
      </w:r>
    </w:p>
    <w:p>
      <w:pPr>
        <w:pStyle w:val="ListBullet"/>
      </w:pPr>
      <w:r>
        <w:t>Business owners shall not bypass this policy by using informal arrangements, trial services, free tools, personal accounts, unapproved procurement channels, embedded platform services, or subcontracted services that could affect payment data or payment security.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Leadership</w:t>
            </w:r>
          </w:p>
        </w:tc>
        <w:tc>
          <w:tcPr>
            <w:tcW w:type="dxa" w:w="4320"/>
          </w:tcPr>
          <w:p>
            <w:r>
              <w:t>Provide oversight of third-party risk management for payment-related services; ensure adequate resources are available; review significant third-party risks and escalations where required.</w:t>
            </w:r>
          </w:p>
        </w:tc>
      </w:tr>
      <w:tr>
        <w:tc>
          <w:tcPr>
            <w:tcW w:type="dxa" w:w="4320"/>
          </w:tcPr>
          <w:p>
            <w:r>
              <w:t>Chief Information Security Officer</w:t>
            </w:r>
          </w:p>
        </w:tc>
        <w:tc>
          <w:tcPr>
            <w:tcW w:type="dxa" w:w="4320"/>
          </w:tcPr>
          <w:p>
            <w:r>
              <w:t>Own this policy; define security requirements for third-party service providers; approve risk-based due diligence criteria; review significant exceptions, risks, and escalations.</w:t>
            </w:r>
          </w:p>
        </w:tc>
      </w:tr>
      <w:tr>
        <w:tc>
          <w:tcPr>
            <w:tcW w:type="dxa" w:w="4320"/>
          </w:tcPr>
          <w:p>
            <w:r>
              <w:t>Third-Party Risk Management Function</w:t>
            </w:r>
          </w:p>
        </w:tc>
        <w:tc>
          <w:tcPr>
            <w:tcW w:type="dxa" w:w="4320"/>
          </w:tcPr>
          <w:p>
            <w:r>
              <w:t>Maintain the third-party risk process; coordinate due diligence and ongoing monitoring; maintain risk ratings, review schedules, and assessment records; track third-party issues and remediation.</w:t>
            </w:r>
          </w:p>
        </w:tc>
      </w:tr>
      <w:tr>
        <w:tc>
          <w:tcPr>
            <w:tcW w:type="dxa" w:w="4320"/>
          </w:tcPr>
          <w:p>
            <w:r>
              <w:t>Procurement / Vendor Management</w:t>
            </w:r>
          </w:p>
        </w:tc>
        <w:tc>
          <w:tcPr>
            <w:tcW w:type="dxa" w:w="4320"/>
          </w:tcPr>
          <w:p>
            <w:r>
              <w:t>Ensure in-scope providers are not onboarded, renewed, or materially changed without required assessments and approvals; maintain supplier records; coordinate contract lifecycle activities.</w:t>
            </w:r>
          </w:p>
        </w:tc>
      </w:tr>
      <w:tr>
        <w:tc>
          <w:tcPr>
            <w:tcW w:type="dxa" w:w="4320"/>
          </w:tcPr>
          <w:p>
            <w:r>
              <w:t>Legal</w:t>
            </w:r>
          </w:p>
        </w:tc>
        <w:tc>
          <w:tcPr>
            <w:tcW w:type="dxa" w:w="4320"/>
          </w:tcPr>
          <w:p>
            <w:r>
              <w:t>Ensure written agreements include required security, compliance, confidentiality, incident notification, audit, subcontractor, data handling, and termination provisions; advise on contractual remedies and risk acceptance.</w:t>
            </w:r>
          </w:p>
        </w:tc>
      </w:tr>
      <w:tr>
        <w:tc>
          <w:tcPr>
            <w:tcW w:type="dxa" w:w="4320"/>
          </w:tcPr>
          <w:p>
            <w:r>
              <w:t>Business Owner / Service Owner</w:t>
            </w:r>
          </w:p>
        </w:tc>
        <w:tc>
          <w:tcPr>
            <w:tcW w:type="dxa" w:w="4320"/>
          </w:tcPr>
          <w:p>
            <w:r>
              <w:t>Identify when a provider may affect payment data or payment systems; initiate due diligence; define service requirements; approve business use; monitor provider performance; ensure remediation actions are completed.</w:t>
            </w:r>
          </w:p>
        </w:tc>
      </w:tr>
      <w:tr>
        <w:tc>
          <w:tcPr>
            <w:tcW w:type="dxa" w:w="4320"/>
          </w:tcPr>
          <w:p>
            <w:r>
              <w:t>Information Security</w:t>
            </w:r>
          </w:p>
        </w:tc>
        <w:tc>
          <w:tcPr>
            <w:tcW w:type="dxa" w:w="4320"/>
          </w:tcPr>
          <w:p>
            <w:r>
              <w:t>Review security evidence; assess control design and operating effectiveness where applicable; validate responsibility matrices; review provider access risks; advise on remediation and compensating measures.</w:t>
            </w:r>
          </w:p>
        </w:tc>
      </w:tr>
      <w:tr>
        <w:tc>
          <w:tcPr>
            <w:tcW w:type="dxa" w:w="4320"/>
          </w:tcPr>
          <w:p>
            <w:r>
              <w:t>PCI Compliance Owner</w:t>
            </w:r>
          </w:p>
        </w:tc>
        <w:tc>
          <w:tcPr>
            <w:tcW w:type="dxa" w:w="4320"/>
          </w:tcPr>
          <w:p>
            <w:r>
              <w:t>Confirm provider relevance to the organisation’s payment compliance scope; maintain evidence needed for compliance assessments; coordinate annual evidence collection and responsibility confirmation.</w:t>
            </w:r>
          </w:p>
        </w:tc>
      </w:tr>
      <w:tr>
        <w:tc>
          <w:tcPr>
            <w:tcW w:type="dxa" w:w="4320"/>
          </w:tcPr>
          <w:p>
            <w:r>
              <w:t>IT Operations / System Owners</w:t>
            </w:r>
          </w:p>
        </w:tc>
        <w:tc>
          <w:tcPr>
            <w:tcW w:type="dxa" w:w="4320"/>
          </w:tcPr>
          <w:p>
            <w:r>
              <w:t>Implement and monitor technical access controls; maintain integrations; review provider accounts and connectivity; remove access upon termination or change; support technical due diligence.</w:t>
            </w:r>
          </w:p>
        </w:tc>
      </w:tr>
      <w:tr>
        <w:tc>
          <w:tcPr>
            <w:tcW w:type="dxa" w:w="4320"/>
          </w:tcPr>
          <w:p>
            <w:r>
              <w:t>Privacy / Data Protection Function</w:t>
            </w:r>
          </w:p>
        </w:tc>
        <w:tc>
          <w:tcPr>
            <w:tcW w:type="dxa" w:w="4320"/>
          </w:tcPr>
          <w:p>
            <w:r>
              <w:t>Review data protection, confidentiality, cross-border transfer, and privacy obligations where personal data is involved; advise on data handling and notification requirements.</w:t>
            </w:r>
          </w:p>
        </w:tc>
      </w:tr>
      <w:tr>
        <w:tc>
          <w:tcPr>
            <w:tcW w:type="dxa" w:w="4320"/>
          </w:tcPr>
          <w:p>
            <w:r>
              <w:t>Incident Response Team</w:t>
            </w:r>
          </w:p>
        </w:tc>
        <w:tc>
          <w:tcPr>
            <w:tcW w:type="dxa" w:w="4320"/>
          </w:tcPr>
          <w:p>
            <w:r>
              <w:t>Maintain provider incident contacts; coordinate response activities involving third-party providers; ensure evidence preservation, investigation support, and post-incident remediation.</w:t>
            </w:r>
          </w:p>
        </w:tc>
      </w:tr>
      <w:tr>
        <w:tc>
          <w:tcPr>
            <w:tcW w:type="dxa" w:w="4320"/>
          </w:tcPr>
          <w:p>
            <w:r>
              <w:t>Internal Audit / Assurance</w:t>
            </w:r>
          </w:p>
        </w:tc>
        <w:tc>
          <w:tcPr>
            <w:tcW w:type="dxa" w:w="4320"/>
          </w:tcPr>
          <w:p>
            <w:r>
              <w:t>Independently review adherence to this policy as part of the assurance plan; report findings and recommendations to management.</w:t>
            </w:r>
          </w:p>
        </w:tc>
      </w:tr>
      <w:tr>
        <w:tc>
          <w:tcPr>
            <w:tcW w:type="dxa" w:w="4320"/>
          </w:tcPr>
          <w:p>
            <w:r>
              <w:t>Employees and Contractors</w:t>
            </w:r>
          </w:p>
        </w:tc>
        <w:tc>
          <w:tcPr>
            <w:tcW w:type="dxa" w:w="4320"/>
          </w:tcPr>
          <w:p>
            <w:r>
              <w:t>Use only approved providers for payment-related activities; report suspected unauthorised provider use, security concerns, or incidents involving third parties.</w:t>
            </w:r>
          </w:p>
        </w:tc>
      </w:tr>
    </w:tbl>
    <w:p>
      <w:pPr>
        <w:pStyle w:val="Heading2"/>
      </w:pPr>
      <w:r>
        <w:t>Compliance, Monitoring &amp; Enforcement</w:t>
      </w:r>
    </w:p>
    <w:p>
      <w:r>
        <w:t>Compliance with this policy is mandatory.</w:t>
      </w:r>
    </w:p>
    <w:p>
      <w:r>
        <w:t>The organisation shall monitor adherence to this policy through a combination of management oversight, inventory reviews, procurement checks, compliance evidence reviews, access reviews, issue tracking, and independent assurance activities.</w:t>
      </w:r>
    </w:p>
    <w:p>
      <w:r>
        <w:t>Monitoring activities shall include,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third-party service provider inventory</w:t>
            </w:r>
          </w:p>
        </w:tc>
        <w:tc>
          <w:tcPr>
            <w:tcW w:type="dxa" w:w="2160"/>
          </w:tcPr>
          <w:p>
            <w:r>
              <w:t>At least annually and upon material change</w:t>
            </w:r>
          </w:p>
        </w:tc>
        <w:tc>
          <w:tcPr>
            <w:tcW w:type="dxa" w:w="2160"/>
          </w:tcPr>
          <w:p>
            <w:r>
              <w:t>Third-Party Risk Management</w:t>
            </w:r>
          </w:p>
        </w:tc>
        <w:tc>
          <w:tcPr>
            <w:tcW w:type="dxa" w:w="2160"/>
          </w:tcPr>
          <w:p>
            <w:r>
              <w:t>Updated supplier inventory, review sign-off</w:t>
            </w:r>
          </w:p>
        </w:tc>
      </w:tr>
      <w:tr>
        <w:tc>
          <w:tcPr>
            <w:tcW w:type="dxa" w:w="2160"/>
          </w:tcPr>
          <w:p>
            <w:r>
              <w:t>Validation of compliance evidence for in-scope providers</w:t>
            </w:r>
          </w:p>
        </w:tc>
        <w:tc>
          <w:tcPr>
            <w:tcW w:type="dxa" w:w="2160"/>
          </w:tcPr>
          <w:p>
            <w:r>
              <w:t>At least annually or more frequently based on risk</w:t>
            </w:r>
          </w:p>
        </w:tc>
        <w:tc>
          <w:tcPr>
            <w:tcW w:type="dxa" w:w="2160"/>
          </w:tcPr>
          <w:p>
            <w:r>
              <w:t>PCI Compliance Owner / Information Security</w:t>
            </w:r>
          </w:p>
        </w:tc>
        <w:tc>
          <w:tcPr>
            <w:tcW w:type="dxa" w:w="2160"/>
          </w:tcPr>
          <w:p>
            <w:r>
              <w:t>Compliance evidence, review notes, gap records</w:t>
            </w:r>
          </w:p>
        </w:tc>
      </w:tr>
      <w:tr>
        <w:tc>
          <w:tcPr>
            <w:tcW w:type="dxa" w:w="2160"/>
          </w:tcPr>
          <w:p>
            <w:r>
              <w:t>Review of responsibility matrices</w:t>
            </w:r>
          </w:p>
        </w:tc>
        <w:tc>
          <w:tcPr>
            <w:tcW w:type="dxa" w:w="2160"/>
          </w:tcPr>
          <w:p>
            <w:r>
              <w:t>At least annually, at renewal, and upon material change</w:t>
            </w:r>
          </w:p>
        </w:tc>
        <w:tc>
          <w:tcPr>
            <w:tcW w:type="dxa" w:w="2160"/>
          </w:tcPr>
          <w:p>
            <w:r>
              <w:t>Business Owner / Information Security</w:t>
            </w:r>
          </w:p>
        </w:tc>
        <w:tc>
          <w:tcPr>
            <w:tcW w:type="dxa" w:w="2160"/>
          </w:tcPr>
          <w:p>
            <w:r>
              <w:t>Approved responsibility matrix</w:t>
            </w:r>
          </w:p>
        </w:tc>
      </w:tr>
      <w:tr>
        <w:tc>
          <w:tcPr>
            <w:tcW w:type="dxa" w:w="2160"/>
          </w:tcPr>
          <w:p>
            <w:r>
              <w:t>Review of high-risk provider issues and remediation</w:t>
            </w:r>
          </w:p>
        </w:tc>
        <w:tc>
          <w:tcPr>
            <w:tcW w:type="dxa" w:w="2160"/>
          </w:tcPr>
          <w:p>
            <w:r>
              <w:t>At least quarterly</w:t>
            </w:r>
          </w:p>
        </w:tc>
        <w:tc>
          <w:tcPr>
            <w:tcW w:type="dxa" w:w="2160"/>
          </w:tcPr>
          <w:p>
            <w:r>
              <w:t>Third-Party Risk Management</w:t>
            </w:r>
          </w:p>
        </w:tc>
        <w:tc>
          <w:tcPr>
            <w:tcW w:type="dxa" w:w="2160"/>
          </w:tcPr>
          <w:p>
            <w:r>
              <w:t>Risk register, issue log, escalation records</w:t>
            </w:r>
          </w:p>
        </w:tc>
      </w:tr>
      <w:tr>
        <w:tc>
          <w:tcPr>
            <w:tcW w:type="dxa" w:w="2160"/>
          </w:tcPr>
          <w:p>
            <w:r>
              <w:t>Review of privileged or remote provider access</w:t>
            </w:r>
          </w:p>
        </w:tc>
        <w:tc>
          <w:tcPr>
            <w:tcW w:type="dxa" w:w="2160"/>
          </w:tcPr>
          <w:p>
            <w:r>
              <w:t>At least quarterly</w:t>
            </w:r>
          </w:p>
        </w:tc>
        <w:tc>
          <w:tcPr>
            <w:tcW w:type="dxa" w:w="2160"/>
          </w:tcPr>
          <w:p>
            <w:r>
              <w:t>IT Operations / System Owners</w:t>
            </w:r>
          </w:p>
        </w:tc>
        <w:tc>
          <w:tcPr>
            <w:tcW w:type="dxa" w:w="2160"/>
          </w:tcPr>
          <w:p>
            <w:r>
              <w:t>Access review records, remediation evidence</w:t>
            </w:r>
          </w:p>
        </w:tc>
      </w:tr>
      <w:tr>
        <w:tc>
          <w:tcPr>
            <w:tcW w:type="dxa" w:w="2160"/>
          </w:tcPr>
          <w:p>
            <w:r>
              <w:t>Contract compliance review for required security terms</w:t>
            </w:r>
          </w:p>
        </w:tc>
        <w:tc>
          <w:tcPr>
            <w:tcW w:type="dxa" w:w="2160"/>
          </w:tcPr>
          <w:p>
            <w:r>
              <w:t>At onboarding, renewal, and material amendment</w:t>
            </w:r>
          </w:p>
        </w:tc>
        <w:tc>
          <w:tcPr>
            <w:tcW w:type="dxa" w:w="2160"/>
          </w:tcPr>
          <w:p>
            <w:r>
              <w:t>Legal / Procurement</w:t>
            </w:r>
          </w:p>
        </w:tc>
        <w:tc>
          <w:tcPr>
            <w:tcW w:type="dxa" w:w="2160"/>
          </w:tcPr>
          <w:p>
            <w:r>
              <w:t>Contract checklist, executed agreement</w:t>
            </w:r>
          </w:p>
        </w:tc>
      </w:tr>
      <w:tr>
        <w:tc>
          <w:tcPr>
            <w:tcW w:type="dxa" w:w="2160"/>
          </w:tcPr>
          <w:p>
            <w:r>
              <w:t>Verification of terminated provider access removal</w:t>
            </w:r>
          </w:p>
        </w:tc>
        <w:tc>
          <w:tcPr>
            <w:tcW w:type="dxa" w:w="2160"/>
          </w:tcPr>
          <w:p>
            <w:r>
              <w:t>Upon termination</w:t>
            </w:r>
          </w:p>
        </w:tc>
        <w:tc>
          <w:tcPr>
            <w:tcW w:type="dxa" w:w="2160"/>
          </w:tcPr>
          <w:p>
            <w:r>
              <w:t>IT Operations / Business Owner</w:t>
            </w:r>
          </w:p>
        </w:tc>
        <w:tc>
          <w:tcPr>
            <w:tcW w:type="dxa" w:w="2160"/>
          </w:tcPr>
          <w:p>
            <w:r>
              <w:t>Access removal records, closure checklist</w:t>
            </w:r>
          </w:p>
        </w:tc>
      </w:tr>
      <w:tr>
        <w:tc>
          <w:tcPr>
            <w:tcW w:type="dxa" w:w="2160"/>
          </w:tcPr>
          <w:p>
            <w:r>
              <w:t>Independent assurance review</w:t>
            </w:r>
          </w:p>
        </w:tc>
        <w:tc>
          <w:tcPr>
            <w:tcW w:type="dxa" w:w="2160"/>
          </w:tcPr>
          <w:p>
            <w:r>
              <w:t>Based on audit plan</w:t>
            </w:r>
          </w:p>
        </w:tc>
        <w:tc>
          <w:tcPr>
            <w:tcW w:type="dxa" w:w="2160"/>
          </w:tcPr>
          <w:p>
            <w:r>
              <w:t>Internal Audit / Assurance</w:t>
            </w:r>
          </w:p>
        </w:tc>
        <w:tc>
          <w:tcPr>
            <w:tcW w:type="dxa" w:w="2160"/>
          </w:tcPr>
          <w:p>
            <w:r>
              <w:t>Audit report, management action plan</w:t>
            </w:r>
          </w:p>
        </w:tc>
      </w:tr>
    </w:tbl>
    <w:p>
      <w:r>
        <w:t>Non-compliance with this policy may result in one or more of the following actions:</w:t>
      </w:r>
    </w:p>
    <w:p>
      <w:pPr>
        <w:pStyle w:val="ListBullet"/>
      </w:pPr>
      <w:r>
        <w:t>suspension of provider onboarding, renewal, service activation, or production access;</w:t>
      </w:r>
    </w:p>
    <w:p>
      <w:pPr>
        <w:pStyle w:val="ListBullet"/>
      </w:pPr>
      <w:r>
        <w:t>rejection or termination of the third-party service provider relationship;</w:t>
      </w:r>
    </w:p>
    <w:p>
      <w:pPr>
        <w:pStyle w:val="ListBullet"/>
      </w:pPr>
      <w:r>
        <w:t>escalation to senior management or executive leadership;</w:t>
      </w:r>
    </w:p>
    <w:p>
      <w:pPr>
        <w:pStyle w:val="ListBullet"/>
      </w:pPr>
      <w:r>
        <w:t>formal risk acceptance requirements;</w:t>
      </w:r>
    </w:p>
    <w:p>
      <w:pPr>
        <w:pStyle w:val="ListBullet"/>
      </w:pPr>
      <w:r>
        <w:t>remediation plans with defined deadlines;</w:t>
      </w:r>
    </w:p>
    <w:p>
      <w:pPr>
        <w:pStyle w:val="ListBullet"/>
      </w:pPr>
      <w:r>
        <w:t>restriction or removal of provider access;</w:t>
      </w:r>
    </w:p>
    <w:p>
      <w:pPr>
        <w:pStyle w:val="ListBullet"/>
      </w:pPr>
      <w:r>
        <w:t>contractual remedies, including service credits, indemnity claims, audit rights, or termination rights where applicable;</w:t>
      </w:r>
    </w:p>
    <w:p>
      <w:pPr>
        <w:pStyle w:val="ListBullet"/>
      </w:pPr>
      <w:r>
        <w:t>disciplinary action for employees or contractors who knowingly bypass required controls; and</w:t>
      </w:r>
    </w:p>
    <w:p>
      <w:pPr>
        <w:pStyle w:val="ListBullet"/>
      </w:pPr>
      <w:r>
        <w:t>notification to affected stakeholders, payment partners, regulators, customers, or other parties where legally or contractually required.</w:t>
      </w:r>
    </w:p>
    <w:p>
      <w:r>
        <w:t>The organisation shall treat the following as significant policy violations:</w:t>
      </w:r>
    </w:p>
    <w:p>
      <w:pPr>
        <w:pStyle w:val="ListBullet"/>
      </w:pPr>
      <w:r>
        <w:t>use of an unapproved third-party service provider for payment-related activities;</w:t>
      </w:r>
    </w:p>
    <w:p>
      <w:pPr>
        <w:pStyle w:val="ListBullet"/>
      </w:pPr>
      <w:r>
        <w:t>granting provider access to the cardholder data environment before due diligence and approval;</w:t>
      </w:r>
    </w:p>
    <w:p>
      <w:pPr>
        <w:pStyle w:val="ListBullet"/>
      </w:pPr>
      <w:r>
        <w:t>failure to maintain a written agreement with required security obligations;</w:t>
      </w:r>
    </w:p>
    <w:p>
      <w:pPr>
        <w:pStyle w:val="ListBullet"/>
      </w:pPr>
      <w:r>
        <w:t>failure to obtain or review required compliance evidence;</w:t>
      </w:r>
    </w:p>
    <w:p>
      <w:pPr>
        <w:pStyle w:val="ListBullet"/>
      </w:pPr>
      <w:r>
        <w:t>failure to document responsibility allocation for shared security activities;</w:t>
      </w:r>
    </w:p>
    <w:p>
      <w:pPr>
        <w:pStyle w:val="ListBullet"/>
      </w:pPr>
      <w:r>
        <w:t>failure to revoke provider access after termination or when no longer required;</w:t>
      </w:r>
    </w:p>
    <w:p>
      <w:pPr>
        <w:pStyle w:val="ListBullet"/>
      </w:pPr>
      <w:r>
        <w:t>failure to report a third-party security incident or material compliance concern; and</w:t>
      </w:r>
    </w:p>
    <w:p>
      <w:pPr>
        <w:pStyle w:val="ListBullet"/>
      </w:pPr>
      <w:r>
        <w:t>intentional misclassification of a provider to avoid assessment or oversight.</w:t>
      </w:r>
    </w:p>
    <w:p>
      <w:pPr>
        <w:pStyle w:val="Heading2"/>
      </w:pPr>
      <w:r>
        <w:t>Exceptions</w:t>
      </w:r>
    </w:p>
    <w:p>
      <w:r>
        <w:t>Exceptions to this policy shall be permitted only where there is a documented business need, a risk assessment has been completed, and approval has been granted by authorised stakeholders.</w:t>
      </w:r>
    </w:p>
    <w:p>
      <w:r>
        <w:t>Exception requests shall include:</w:t>
      </w:r>
    </w:p>
    <w:p>
      <w:pPr>
        <w:pStyle w:val="ListBullet"/>
      </w:pPr>
      <w:r>
        <w:t>description of the requested exception;</w:t>
      </w:r>
    </w:p>
    <w:p>
      <w:pPr>
        <w:pStyle w:val="ListBullet"/>
      </w:pPr>
      <w:r>
        <w:t>affected third-party service provider;</w:t>
      </w:r>
    </w:p>
    <w:p>
      <w:pPr>
        <w:pStyle w:val="ListBullet"/>
      </w:pPr>
      <w:r>
        <w:t>affected services, systems, data, and payment processes;</w:t>
      </w:r>
    </w:p>
    <w:p>
      <w:pPr>
        <w:pStyle w:val="ListBullet"/>
      </w:pPr>
      <w:r>
        <w:t>reason the policy requirement cannot be met;</w:t>
      </w:r>
    </w:p>
    <w:p>
      <w:pPr>
        <w:pStyle w:val="ListBullet"/>
      </w:pPr>
      <w:r>
        <w:t>security and compliance risks created by the exception;</w:t>
      </w:r>
    </w:p>
    <w:p>
      <w:pPr>
        <w:pStyle w:val="ListBullet"/>
      </w:pPr>
      <w:r>
        <w:t>compensating controls or interim safeguards;</w:t>
      </w:r>
    </w:p>
    <w:p>
      <w:pPr>
        <w:pStyle w:val="ListBullet"/>
      </w:pPr>
      <w:r>
        <w:t>remediation plan and target completion date;</w:t>
      </w:r>
    </w:p>
    <w:p>
      <w:pPr>
        <w:pStyle w:val="ListBullet"/>
      </w:pPr>
      <w:r>
        <w:t>requested exception duration;</w:t>
      </w:r>
    </w:p>
    <w:p>
      <w:pPr>
        <w:pStyle w:val="ListBullet"/>
      </w:pPr>
      <w:r>
        <w:t>business owner approval;</w:t>
      </w:r>
    </w:p>
    <w:p>
      <w:pPr>
        <w:pStyle w:val="ListBullet"/>
      </w:pPr>
      <w:r>
        <w:t>Information Security approval;</w:t>
      </w:r>
    </w:p>
    <w:p>
      <w:pPr>
        <w:pStyle w:val="ListBullet"/>
      </w:pPr>
      <w:r>
        <w:t>PCI Compliance Owner review;</w:t>
      </w:r>
    </w:p>
    <w:p>
      <w:pPr>
        <w:pStyle w:val="ListBullet"/>
      </w:pPr>
      <w:r>
        <w:t>Legal or Procurement review where contractual terms are affected; and</w:t>
      </w:r>
    </w:p>
    <w:p>
      <w:pPr>
        <w:pStyle w:val="ListBullet"/>
      </w:pPr>
      <w:r>
        <w:t>senior management approval for high-risk exceptions.</w:t>
      </w:r>
    </w:p>
    <w:p>
      <w:r>
        <w:t>Exceptions shall be time-bound and shall not exceed [maximum exception period, e.g., 12 months] without re-evaluation and re-approval.</w:t>
      </w:r>
    </w:p>
    <w:p>
      <w:r>
        <w:t>Exceptions involving providers that store, process, transmit, or have administrative access to cardholder data shall require explicit approval from the [Chief Information Security Officer] and the accountable business executive.</w:t>
      </w:r>
    </w:p>
    <w:p>
      <w:r>
        <w:t>Expired exceptions shall be treated as non-compliance unless renewed through the approved exception process before expiration.</w:t>
      </w:r>
    </w:p>
    <w:p>
      <w:r>
        <w:t>Emergency exceptions may be granted to address urgent operational, security, or incident response needs, provided that:</w:t>
      </w:r>
    </w:p>
    <w:p>
      <w:pPr>
        <w:pStyle w:val="ListBullet"/>
      </w:pPr>
      <w:r>
        <w:t>the exception is documented as soon as practicable;</w:t>
      </w:r>
    </w:p>
    <w:p>
      <w:pPr>
        <w:pStyle w:val="ListBullet"/>
      </w:pPr>
      <w:r>
        <w:t>compensating safeguards are implemented;</w:t>
      </w:r>
    </w:p>
    <w:p>
      <w:pPr>
        <w:pStyle w:val="ListBullet"/>
      </w:pPr>
      <w:r>
        <w:t>approval is obtained from the [Chief Information Security Officer] or delegated authority;</w:t>
      </w:r>
    </w:p>
    <w:p>
      <w:pPr>
        <w:pStyle w:val="ListBullet"/>
      </w:pPr>
      <w:r>
        <w:t>the exception is reviewed within [number of business days] business days; and</w:t>
      </w:r>
    </w:p>
    <w:p>
      <w:pPr>
        <w:pStyle w:val="ListBullet"/>
      </w:pPr>
      <w:r>
        <w:t>a remediation or normalisation plan is established.</w:t>
      </w:r>
    </w:p>
    <w:p>
      <w:pPr>
        <w:pStyle w:val="Heading2"/>
      </w:pPr>
      <w:r>
        <w:t>Review &amp; Maintenance</w:t>
      </w:r>
    </w:p>
    <w:p>
      <w:r>
        <w:t>This policy shall be reviewed at least annually and whenever significant changes occur that may affect third-party service provider risk or payment security obligations.</w:t>
      </w:r>
    </w:p>
    <w:p>
      <w:r>
        <w:t>Triggers for interim review include:</w:t>
      </w:r>
    </w:p>
    <w:p>
      <w:pPr>
        <w:pStyle w:val="ListBullet"/>
      </w:pPr>
      <w:r>
        <w:t>material changes to payment processing, cardholder data flows, or the cardholder data environment;</w:t>
      </w:r>
    </w:p>
    <w:p>
      <w:pPr>
        <w:pStyle w:val="ListBullet"/>
      </w:pPr>
      <w:r>
        <w:t>engagement of a new critical or high-risk third-party service provider;</w:t>
      </w:r>
    </w:p>
    <w:p>
      <w:pPr>
        <w:pStyle w:val="ListBullet"/>
      </w:pPr>
      <w:r>
        <w:t>significant change in provider service delivery model, hosting arrangement, subcontractor use, or compliance status;</w:t>
      </w:r>
    </w:p>
    <w:p>
      <w:pPr>
        <w:pStyle w:val="ListBullet"/>
      </w:pPr>
      <w:r>
        <w:t>security incident involving a third-party service provider;</w:t>
      </w:r>
    </w:p>
    <w:p>
      <w:pPr>
        <w:pStyle w:val="ListBullet"/>
      </w:pPr>
      <w:r>
        <w:t>audit finding, assessment result, or compliance gap related to third-party management;</w:t>
      </w:r>
    </w:p>
    <w:p>
      <w:pPr>
        <w:pStyle w:val="ListBullet"/>
      </w:pPr>
      <w:r>
        <w:t>change in business strategy, outsourcing model, technology platform, or payment channel;</w:t>
      </w:r>
    </w:p>
    <w:p>
      <w:pPr>
        <w:pStyle w:val="ListBullet"/>
      </w:pPr>
      <w:r>
        <w:t>changes to applicable legal, contractual, payment brand, acquiring bank, or compliance obligations; and</w:t>
      </w:r>
    </w:p>
    <w:p>
      <w:pPr>
        <w:pStyle w:val="ListBullet"/>
      </w:pPr>
      <w:r>
        <w:t>lessons learned from monitoring, incidents, exceptions, or assurance reviews.</w:t>
      </w:r>
    </w:p>
    <w:p>
      <w:r>
        <w:t>The [Chief Information Security Officer] shall be responsible for ensuring this policy remains accurate, approved, communicated, and aligned with the organisation’s risk appetite and payment security obligations.</w:t>
      </w:r>
    </w:p>
    <w:p>
      <w:r>
        <w:t>Policy updates shall be reviewed by Information Security, Third-Party Risk Management, Procurement, Legal, the PCI Compliance Owner, and relevant business stakeholders before approval.</w:t>
      </w:r>
    </w:p>
    <w:p>
      <w:r>
        <w:t>The current approved version of this policy shall be stored in [policy management repository] and made available to personnel with responsibilities for procurement, supplier management, payment operations, technology, security, legal, compliance, and contract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